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spacing w:before="156" w:after="156"/>
      </w:pPr>
      <w:r>
        <mc:AlternateContent>
          <mc:Choice Requires="wps">
            <w:drawing>
              <wp:anchor distT="0" distB="0" distL="114300" distR="114300" simplePos="0" relativeHeight="251662336" behindDoc="0" locked="0" layoutInCell="1" allowOverlap="1">
                <wp:simplePos x="0" y="0"/>
                <wp:positionH relativeFrom="column">
                  <wp:posOffset>-902970</wp:posOffset>
                </wp:positionH>
                <wp:positionV relativeFrom="paragraph">
                  <wp:posOffset>616585</wp:posOffset>
                </wp:positionV>
                <wp:extent cx="7589520" cy="190055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89520" cy="1900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ind w:firstLine="3604" w:firstLineChars="500"/>
                              <w:jc w:val="left"/>
                              <w:rPr>
                                <w:rFonts w:hint="eastAsia" w:cs="Times New Roman"/>
                                <w:b/>
                                <w:bCs/>
                                <w:color w:val="014099"/>
                                <w:sz w:val="72"/>
                                <w:szCs w:val="72"/>
                              </w:rPr>
                            </w:pPr>
                            <w:r>
                              <w:rPr>
                                <w:rFonts w:cs="Times New Roman"/>
                                <w:b/>
                                <w:bCs/>
                                <w:color w:val="014099"/>
                                <w:sz w:val="72"/>
                                <w:szCs w:val="72"/>
                              </w:rPr>
                              <w:t>Infrared Method</w:t>
                            </w:r>
                          </w:p>
                          <w:p>
                            <w:pPr>
                              <w:keepNext w:val="0"/>
                              <w:keepLines w:val="0"/>
                              <w:widowControl/>
                              <w:suppressLineNumbers w:val="0"/>
                              <w:ind w:left="0" w:leftChars="0" w:firstLine="721" w:firstLineChars="100"/>
                              <w:jc w:val="center"/>
                              <w:rPr>
                                <w:rFonts w:hint="eastAsia" w:cs="Times New Roman"/>
                                <w:b/>
                                <w:bCs/>
                                <w:color w:val="014099"/>
                                <w:sz w:val="72"/>
                                <w:szCs w:val="72"/>
                                <w:lang w:val="en-US" w:eastAsia="zh-CN"/>
                              </w:rPr>
                            </w:pPr>
                            <w:r>
                              <w:rPr>
                                <w:rFonts w:hint="eastAsia" w:cs="Times New Roman"/>
                                <w:b/>
                                <w:bCs/>
                                <w:color w:val="014099"/>
                                <w:sz w:val="72"/>
                                <w:szCs w:val="72"/>
                              </w:rPr>
                              <w:t xml:space="preserve">Water Vapor </w:t>
                            </w:r>
                            <w:r>
                              <w:rPr>
                                <w:rFonts w:hint="eastAsia" w:cs="Times New Roman"/>
                                <w:b/>
                                <w:bCs/>
                                <w:color w:val="014099"/>
                                <w:sz w:val="72"/>
                                <w:szCs w:val="72"/>
                                <w:lang w:val="en-US" w:eastAsia="zh-CN"/>
                              </w:rPr>
                              <w:t>Permeability Analyzer</w:t>
                            </w:r>
                          </w:p>
                          <w:p>
                            <w:pPr>
                              <w:keepNext w:val="0"/>
                              <w:keepLines w:val="0"/>
                              <w:widowControl/>
                              <w:suppressLineNumbers w:val="0"/>
                              <w:ind w:left="0" w:leftChars="0" w:firstLine="721" w:firstLineChars="100"/>
                              <w:jc w:val="center"/>
                              <w:rPr>
                                <w:rFonts w:hint="eastAsia" w:cs="Times New Roman"/>
                                <w:b/>
                                <w:bCs/>
                                <w:color w:val="014099"/>
                                <w:sz w:val="72"/>
                                <w:szCs w:val="72"/>
                                <w:lang w:val="en-US" w:eastAsia="zh-CN"/>
                              </w:rPr>
                            </w:pPr>
                            <w:r>
                              <w:rPr>
                                <w:rFonts w:cs="Times New Roman"/>
                                <w:b/>
                                <w:bCs/>
                                <w:color w:val="014099"/>
                                <w:sz w:val="72"/>
                                <w:szCs w:val="72"/>
                              </w:rPr>
                              <w:t>W4</w:t>
                            </w:r>
                            <w:r>
                              <w:rPr>
                                <w:rFonts w:hint="eastAsia" w:cs="Times New Roman"/>
                                <w:b/>
                                <w:bCs/>
                                <w:color w:val="014099"/>
                                <w:sz w:val="72"/>
                                <w:szCs w:val="72"/>
                              </w:rPr>
                              <w:t>0</w:t>
                            </w:r>
                            <w:r>
                              <w:rPr>
                                <w:rFonts w:cs="Times New Roman"/>
                                <w:b/>
                                <w:bCs/>
                                <w:color w:val="014099"/>
                                <w:sz w:val="72"/>
                                <w:szCs w:val="72"/>
                              </w:rPr>
                              <w:t>1</w:t>
                            </w:r>
                            <w:r>
                              <w:rPr>
                                <w:rFonts w:hint="eastAsia" w:cs="Times New Roman"/>
                                <w:b/>
                                <w:bCs/>
                                <w:color w:val="014099"/>
                                <w:sz w:val="72"/>
                                <w:szCs w:val="72"/>
                              </w:rPr>
                              <w:t xml:space="preserve">L </w:t>
                            </w:r>
                          </w:p>
                          <w:p>
                            <w:pPr>
                              <w:spacing w:line="600" w:lineRule="auto"/>
                              <w:ind w:firstLine="0" w:firstLineChars="0"/>
                              <w:jc w:val="center"/>
                              <w:rPr>
                                <w:rFonts w:cs="Times New Roman"/>
                                <w:b/>
                                <w:bCs/>
                                <w:color w:val="014099"/>
                                <w:sz w:val="56"/>
                                <w:szCs w:val="5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1.1pt;margin-top:48.55pt;height:149.65pt;width:597.6pt;z-index:251662336;mso-width-relative:page;mso-height-relative:page;" filled="f" stroked="f" coordsize="21600,21600" o:gfxdata="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TYTStsAAAAMAQAADwAAAAAAAAABACAAAAAiAAAAZHJzL2Rvd25y&#10;ZXYueG1sUEsBAhQAFAAAAAgAh07iQAMfen80AgAAWQQAAA4AAAAAAAAAAQAgAAAAKgEAAGRycy9l&#10;Mm9Eb2MueG1sUEsFBgAAAAAGAAYAWQEAANAFAAAAAA==&#10;">
                <v:fill on="f" focussize="0,0"/>
                <v:stroke on="f" weight="0.5pt"/>
                <v:imagedata o:title=""/>
                <o:lock v:ext="edit" aspectratio="f"/>
                <v:textbox inset="0mm,0mm,0mm,0mm">
                  <w:txbxContent>
                    <w:p>
                      <w:pPr>
                        <w:keepNext w:val="0"/>
                        <w:keepLines w:val="0"/>
                        <w:widowControl/>
                        <w:suppressLineNumbers w:val="0"/>
                        <w:ind w:firstLine="3604" w:firstLineChars="500"/>
                        <w:jc w:val="left"/>
                        <w:rPr>
                          <w:rFonts w:hint="eastAsia" w:cs="Times New Roman"/>
                          <w:b/>
                          <w:bCs/>
                          <w:color w:val="014099"/>
                          <w:sz w:val="72"/>
                          <w:szCs w:val="72"/>
                        </w:rPr>
                      </w:pPr>
                      <w:r>
                        <w:rPr>
                          <w:rFonts w:cs="Times New Roman"/>
                          <w:b/>
                          <w:bCs/>
                          <w:color w:val="014099"/>
                          <w:sz w:val="72"/>
                          <w:szCs w:val="72"/>
                        </w:rPr>
                        <w:t>Infrared Method</w:t>
                      </w:r>
                    </w:p>
                    <w:p>
                      <w:pPr>
                        <w:keepNext w:val="0"/>
                        <w:keepLines w:val="0"/>
                        <w:widowControl/>
                        <w:suppressLineNumbers w:val="0"/>
                        <w:ind w:left="0" w:leftChars="0" w:firstLine="721" w:firstLineChars="100"/>
                        <w:jc w:val="center"/>
                        <w:rPr>
                          <w:rFonts w:hint="eastAsia" w:cs="Times New Roman"/>
                          <w:b/>
                          <w:bCs/>
                          <w:color w:val="014099"/>
                          <w:sz w:val="72"/>
                          <w:szCs w:val="72"/>
                          <w:lang w:val="en-US" w:eastAsia="zh-CN"/>
                        </w:rPr>
                      </w:pPr>
                      <w:r>
                        <w:rPr>
                          <w:rFonts w:hint="eastAsia" w:cs="Times New Roman"/>
                          <w:b/>
                          <w:bCs/>
                          <w:color w:val="014099"/>
                          <w:sz w:val="72"/>
                          <w:szCs w:val="72"/>
                        </w:rPr>
                        <w:t xml:space="preserve">Water Vapor </w:t>
                      </w:r>
                      <w:r>
                        <w:rPr>
                          <w:rFonts w:hint="eastAsia" w:cs="Times New Roman"/>
                          <w:b/>
                          <w:bCs/>
                          <w:color w:val="014099"/>
                          <w:sz w:val="72"/>
                          <w:szCs w:val="72"/>
                          <w:lang w:val="en-US" w:eastAsia="zh-CN"/>
                        </w:rPr>
                        <w:t>Permeability Analyzer</w:t>
                      </w:r>
                    </w:p>
                    <w:p>
                      <w:pPr>
                        <w:keepNext w:val="0"/>
                        <w:keepLines w:val="0"/>
                        <w:widowControl/>
                        <w:suppressLineNumbers w:val="0"/>
                        <w:ind w:left="0" w:leftChars="0" w:firstLine="721" w:firstLineChars="100"/>
                        <w:jc w:val="center"/>
                        <w:rPr>
                          <w:rFonts w:hint="eastAsia" w:cs="Times New Roman"/>
                          <w:b/>
                          <w:bCs/>
                          <w:color w:val="014099"/>
                          <w:sz w:val="72"/>
                          <w:szCs w:val="72"/>
                          <w:lang w:val="en-US" w:eastAsia="zh-CN"/>
                        </w:rPr>
                      </w:pPr>
                      <w:r>
                        <w:rPr>
                          <w:rFonts w:cs="Times New Roman"/>
                          <w:b/>
                          <w:bCs/>
                          <w:color w:val="014099"/>
                          <w:sz w:val="72"/>
                          <w:szCs w:val="72"/>
                        </w:rPr>
                        <w:t>W4</w:t>
                      </w:r>
                      <w:r>
                        <w:rPr>
                          <w:rFonts w:hint="eastAsia" w:cs="Times New Roman"/>
                          <w:b/>
                          <w:bCs/>
                          <w:color w:val="014099"/>
                          <w:sz w:val="72"/>
                          <w:szCs w:val="72"/>
                        </w:rPr>
                        <w:t>0</w:t>
                      </w:r>
                      <w:r>
                        <w:rPr>
                          <w:rFonts w:cs="Times New Roman"/>
                          <w:b/>
                          <w:bCs/>
                          <w:color w:val="014099"/>
                          <w:sz w:val="72"/>
                          <w:szCs w:val="72"/>
                        </w:rPr>
                        <w:t>1</w:t>
                      </w:r>
                      <w:r>
                        <w:rPr>
                          <w:rFonts w:hint="eastAsia" w:cs="Times New Roman"/>
                          <w:b/>
                          <w:bCs/>
                          <w:color w:val="014099"/>
                          <w:sz w:val="72"/>
                          <w:szCs w:val="72"/>
                        </w:rPr>
                        <w:t xml:space="preserve">L </w:t>
                      </w:r>
                    </w:p>
                    <w:p>
                      <w:pPr>
                        <w:spacing w:line="600" w:lineRule="auto"/>
                        <w:ind w:firstLine="0" w:firstLineChars="0"/>
                        <w:jc w:val="center"/>
                        <w:rPr>
                          <w:rFonts w:cs="Times New Roman"/>
                          <w:b/>
                          <w:bCs/>
                          <w:color w:val="014099"/>
                          <w:sz w:val="56"/>
                          <w:szCs w:val="56"/>
                        </w:rPr>
                      </w:pPr>
                    </w:p>
                  </w:txbxContent>
                </v:textbox>
              </v:shape>
            </w:pict>
          </mc:Fallback>
        </mc:AlternateContent>
      </w:r>
      <w:r>
        <w:drawing>
          <wp:anchor distT="0" distB="0" distL="114300" distR="114300" simplePos="0" relativeHeight="251663360" behindDoc="0" locked="0" layoutInCell="1" allowOverlap="1">
            <wp:simplePos x="0" y="0"/>
            <wp:positionH relativeFrom="margin">
              <wp:posOffset>1209675</wp:posOffset>
            </wp:positionH>
            <wp:positionV relativeFrom="paragraph">
              <wp:posOffset>2853690</wp:posOffset>
            </wp:positionV>
            <wp:extent cx="3241040" cy="2990850"/>
            <wp:effectExtent l="0" t="0" r="5080" b="11430"/>
            <wp:wrapSquare wrapText="bothSides"/>
            <wp:docPr id="11" name="图片 11" descr="C:\Users\SandyH\Desktop\W401L.pngW40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SandyH\Desktop\W401L.pngW401L"/>
                    <pic:cNvPicPr>
                      <a:picLocks noChangeAspect="1" noChangeArrowheads="1"/>
                    </pic:cNvPicPr>
                  </pic:nvPicPr>
                  <pic:blipFill>
                    <a:blip r:embed="rId12"/>
                    <a:srcRect/>
                    <a:stretch>
                      <a:fillRect/>
                    </a:stretch>
                  </pic:blipFill>
                  <pic:spPr>
                    <a:xfrm>
                      <a:off x="0" y="0"/>
                      <a:ext cx="3241040" cy="2990850"/>
                    </a:xfrm>
                    <a:prstGeom prst="rect">
                      <a:avLst/>
                    </a:prstGeom>
                    <a:noFill/>
                    <a:ln>
                      <a:noFill/>
                    </a:ln>
                  </pic:spPr>
                </pic:pic>
              </a:graphicData>
            </a:graphic>
          </wp:anchor>
        </w:drawing>
      </w:r>
      <w:r>
        <w:rPr>
          <w:rFonts w:hint="eastAsia"/>
        </w:rPr>
        <w:drawing>
          <wp:anchor distT="0" distB="0" distL="114300" distR="114300" simplePos="0" relativeHeight="251660288" behindDoc="1" locked="0" layoutInCell="1" allowOverlap="1">
            <wp:simplePos x="0" y="0"/>
            <wp:positionH relativeFrom="column">
              <wp:posOffset>-948690</wp:posOffset>
            </wp:positionH>
            <wp:positionV relativeFrom="paragraph">
              <wp:posOffset>-911225</wp:posOffset>
            </wp:positionV>
            <wp:extent cx="7610475" cy="10766425"/>
            <wp:effectExtent l="0" t="0" r="9525" b="15875"/>
            <wp:wrapNone/>
            <wp:docPr id="8" name="图片 8" descr="C:\Users\SandyH\Desktop\图片1封面.png图片1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andyH\Desktop\图片1封面.png图片1封面"/>
                    <pic:cNvPicPr>
                      <a:picLocks noChangeAspect="1"/>
                    </pic:cNvPicPr>
                  </pic:nvPicPr>
                  <pic:blipFill>
                    <a:blip r:embed="rId13"/>
                    <a:srcRect/>
                    <a:stretch>
                      <a:fillRect/>
                    </a:stretch>
                  </pic:blipFill>
                  <pic:spPr>
                    <a:xfrm>
                      <a:off x="0" y="0"/>
                      <a:ext cx="7610475" cy="10766425"/>
                    </a:xfrm>
                    <a:prstGeom prst="rect">
                      <a:avLst/>
                    </a:prstGeom>
                  </pic:spPr>
                </pic:pic>
              </a:graphicData>
            </a:graphic>
          </wp:anchor>
        </w:drawing>
      </w:r>
      <w:r>
        <w:br w:type="page"/>
      </w:r>
      <w:r>
        <w:rPr>
          <w:rFonts w:hint="eastAsia"/>
          <w:b/>
          <w:bCs/>
        </w:rPr>
        <w:t>In</w:t>
      </w:r>
      <w:r>
        <w:rPr>
          <w:b/>
          <w:bCs/>
        </w:rPr>
        <w:t>troduction</w:t>
      </w:r>
    </w:p>
    <w:p>
      <w:pPr>
        <w:ind w:left="0" w:leftChars="0" w:firstLine="480" w:firstLineChars="200"/>
        <w:rPr>
          <w:rFonts w:hint="eastAsia" w:eastAsia="华文楷体"/>
          <w:lang w:eastAsia="zh-CN"/>
        </w:rPr>
      </w:pPr>
      <w:r>
        <w:rPr>
          <w:rFonts w:hint="eastAsia"/>
        </w:rPr>
        <w:t xml:space="preserve">Infrared </w:t>
      </w:r>
      <w:r>
        <w:rPr>
          <w:rFonts w:hint="eastAsia"/>
          <w:lang w:val="en-US" w:eastAsia="zh-CN"/>
        </w:rPr>
        <w:t xml:space="preserve">method </w:t>
      </w:r>
      <w:r>
        <w:rPr>
          <w:rFonts w:hint="eastAsia"/>
        </w:rPr>
        <w:t>water vapor transmission rate tester W401L is a high-end precision packaging material testing instrument</w:t>
      </w:r>
      <w:r>
        <w:rPr>
          <w:rFonts w:hint="eastAsia"/>
          <w:lang w:val="en-US" w:eastAsia="zh-CN"/>
        </w:rPr>
        <w:t>,</w:t>
      </w:r>
      <w:r>
        <w:rPr>
          <w:rFonts w:hint="eastAsia"/>
        </w:rPr>
        <w:t xml:space="preserve"> newly developed and upgraded by </w:t>
      </w:r>
      <w:r>
        <w:rPr>
          <w:rFonts w:hint="eastAsia"/>
          <w:lang w:val="en-US" w:eastAsia="zh-CN"/>
        </w:rPr>
        <w:t>GBPI</w:t>
      </w:r>
      <w:r>
        <w:rPr>
          <w:rFonts w:hint="eastAsia"/>
        </w:rPr>
        <w:t xml:space="preserve"> Research and Development Team based on ASTM, GB standard requirements and market demand. It is used to test the water vapor transmission rate</w:t>
      </w:r>
      <w:r>
        <w:rPr>
          <w:rFonts w:hint="eastAsia"/>
          <w:lang w:val="en-US" w:eastAsia="zh-CN"/>
        </w:rPr>
        <w:t xml:space="preserve"> </w:t>
      </w:r>
      <w:r>
        <w:rPr>
          <w:rFonts w:hint="eastAsia"/>
        </w:rPr>
        <w:t>of samples under set temperature and humidity conditions. It is suitable for the water vapor transmission</w:t>
      </w:r>
      <w:r>
        <w:rPr>
          <w:rFonts w:hint="eastAsia"/>
          <w:lang w:val="en-US" w:eastAsia="zh-CN"/>
        </w:rPr>
        <w:t xml:space="preserve"> rate</w:t>
      </w:r>
      <w:r>
        <w:rPr>
          <w:rFonts w:hint="eastAsia"/>
        </w:rPr>
        <w:t xml:space="preserve"> performance test of films, sheets, papers, packages and various materials in the fields of food, medicine, medical equipment, daily chemistry, photovoltaic electronics, etc.</w:t>
      </w:r>
    </w:p>
    <w:p>
      <w:pPr>
        <w:pStyle w:val="42"/>
        <w:spacing w:before="156" w:after="156"/>
        <w:rPr>
          <w:b/>
          <w:bCs/>
        </w:rPr>
      </w:pPr>
      <w:r>
        <w:rPr>
          <w:b/>
          <w:bCs/>
        </w:rPr>
        <w:t>Test principle</w:t>
      </w:r>
    </w:p>
    <w:p>
      <w:pPr>
        <w:ind w:left="0" w:leftChars="0" w:firstLine="480" w:firstLineChars="200"/>
      </w:pPr>
      <w:r>
        <w:rPr>
          <w:rFonts w:hint="eastAsia"/>
        </w:rPr>
        <w:t>W40</w:t>
      </w:r>
      <w:r>
        <w:t>1</w:t>
      </w:r>
      <w:r>
        <w:rPr>
          <w:rFonts w:hint="eastAsia"/>
        </w:rPr>
        <w:t>L</w:t>
      </w:r>
      <w:r>
        <w:rPr>
          <w:rFonts w:hint="eastAsia"/>
          <w:lang w:val="en-US" w:eastAsia="zh-CN"/>
        </w:rPr>
        <w:t xml:space="preserve"> </w:t>
      </w:r>
      <w:r>
        <w:rPr>
          <w:rFonts w:hint="default" w:ascii="Times New Roman" w:hAnsi="Times New Roman" w:cs="Times New Roman" w:eastAsiaTheme="minorEastAsia"/>
          <w:color w:val="000000"/>
          <w:sz w:val="24"/>
          <w:szCs w:val="24"/>
          <w:lang w:val="en-US" w:eastAsia="zh-CN"/>
        </w:rPr>
        <w:t>water vapor transmission rate tester adopts the principle of infrared method. Fix the pre-treated sample in the middle of the test chamber, divide the test chamber into a high-humidity side and a low-humidity side, the humidified nitrogen flows on one side of the film, and the dry nitrogen (carrier gas) flows at a fixed flow rate on the other side, in the presence of a humidity gradient, water vapor will permeate from the high-humidity side to the low-humidity side, and the water vapor that passes through the sample is carried to the infrared sensor by the flowing dry nitrogen, and the water vapor transmission rate (and other parameters) of the sample is obtained by the electrical signal output by the sensor.</w:t>
      </w:r>
      <w:r>
        <w:t xml:space="preserve"> </w:t>
      </w:r>
    </w:p>
    <w:p>
      <w:pPr>
        <w:pStyle w:val="17"/>
        <w:rPr>
          <w:rFonts w:hint="eastAsia" w:eastAsia="华文楷体"/>
          <w:lang w:eastAsia="zh-CN"/>
        </w:rPr>
      </w:pPr>
      <w:r>
        <w:rPr>
          <w:rFonts w:hint="eastAsia" w:eastAsia="华文楷体"/>
          <w:lang w:eastAsia="zh-CN"/>
        </w:rPr>
        <w:drawing>
          <wp:inline distT="0" distB="0" distL="114300" distR="114300">
            <wp:extent cx="4641850" cy="2428240"/>
            <wp:effectExtent l="0" t="0" r="6350" b="10160"/>
            <wp:docPr id="4" name="图片 4" descr="电解法和红外法工作原理图_英文版202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解法和红外法工作原理图_英文版2023614"/>
                    <pic:cNvPicPr>
                      <a:picLocks noChangeAspect="1"/>
                    </pic:cNvPicPr>
                  </pic:nvPicPr>
                  <pic:blipFill>
                    <a:blip r:embed="rId14"/>
                    <a:stretch>
                      <a:fillRect/>
                    </a:stretch>
                  </pic:blipFill>
                  <pic:spPr>
                    <a:xfrm>
                      <a:off x="0" y="0"/>
                      <a:ext cx="4641850" cy="2428240"/>
                    </a:xfrm>
                    <a:prstGeom prst="rect">
                      <a:avLst/>
                    </a:prstGeom>
                  </pic:spPr>
                </pic:pic>
              </a:graphicData>
            </a:graphic>
          </wp:inline>
        </w:drawing>
      </w:r>
    </w:p>
    <w:p>
      <w:pPr>
        <w:pStyle w:val="17"/>
        <w:ind w:firstLine="360"/>
      </w:pPr>
      <w:r>
        <w:t>Working principle diagram</w:t>
      </w:r>
    </w:p>
    <w:p>
      <w:pPr>
        <w:pStyle w:val="17"/>
      </w:pPr>
    </w:p>
    <w:p>
      <w:pPr>
        <w:pStyle w:val="42"/>
        <w:spacing w:before="156" w:after="156"/>
        <w:rPr>
          <w:b/>
          <w:bCs/>
        </w:rPr>
      </w:pPr>
      <w:r>
        <w:rPr>
          <w:rFonts w:hint="eastAsia"/>
          <w:b/>
          <w:bCs/>
        </w:rPr>
        <w:t>S</w:t>
      </w:r>
      <w:r>
        <w:rPr>
          <w:b/>
          <w:bCs/>
        </w:rPr>
        <w:t>tandard</w:t>
      </w:r>
    </w:p>
    <w:p>
      <w:pPr>
        <w:ind w:firstLine="480"/>
        <w:rPr>
          <w:rFonts w:hint="eastAsia"/>
        </w:rPr>
      </w:pPr>
      <w:r>
        <w:rPr>
          <w:rFonts w:hint="eastAsia"/>
        </w:rPr>
        <w:t>ASTM F</w:t>
      </w:r>
      <w:r>
        <w:t xml:space="preserve"> </w:t>
      </w:r>
      <w:r>
        <w:rPr>
          <w:rFonts w:hint="eastAsia"/>
        </w:rPr>
        <w:t>1249</w:t>
      </w:r>
      <w:r>
        <w:rPr>
          <w:rFonts w:hint="eastAsia"/>
          <w:lang w:val="en-US" w:eastAsia="zh-CN"/>
        </w:rPr>
        <w:t xml:space="preserve">, </w:t>
      </w:r>
      <w:r>
        <w:rPr>
          <w:rFonts w:hint="eastAsia"/>
        </w:rPr>
        <w:t>BS EN ISO 15106-2</w:t>
      </w:r>
      <w:r>
        <w:rPr>
          <w:rFonts w:hint="eastAsia"/>
          <w:lang w:val="en-US" w:eastAsia="zh-CN"/>
        </w:rPr>
        <w:t xml:space="preserve">, </w:t>
      </w:r>
      <w:r>
        <w:rPr>
          <w:rFonts w:hint="eastAsia"/>
        </w:rPr>
        <w:t>JIS K7129</w:t>
      </w:r>
      <w:r>
        <w:rPr>
          <w:rFonts w:hint="eastAsia"/>
          <w:lang w:val="en-US" w:eastAsia="zh-CN"/>
        </w:rPr>
        <w:t xml:space="preserve">, </w:t>
      </w:r>
      <w:r>
        <w:rPr>
          <w:rFonts w:hint="eastAsia"/>
        </w:rPr>
        <w:t>GB/T 26253</w:t>
      </w:r>
      <w:r>
        <w:rPr>
          <w:rFonts w:hint="eastAsia"/>
          <w:lang w:val="en-US" w:eastAsia="zh-CN"/>
        </w:rPr>
        <w:t xml:space="preserve">, </w:t>
      </w:r>
      <w:r>
        <w:rPr>
          <w:rFonts w:hint="eastAsia"/>
        </w:rPr>
        <w:t>YBB 00092003</w:t>
      </w:r>
    </w:p>
    <w:p>
      <w:pPr>
        <w:pStyle w:val="42"/>
        <w:spacing w:before="156" w:after="156"/>
        <w:rPr>
          <w:b/>
          <w:bCs/>
        </w:rPr>
      </w:pPr>
      <w:r>
        <w:rPr>
          <w:b/>
          <w:bCs/>
        </w:rPr>
        <w:t>Specification</w:t>
      </w:r>
    </w:p>
    <w:tbl>
      <w:tblPr>
        <w:tblStyle w:val="47"/>
        <w:tblpPr w:leftFromText="180" w:rightFromText="180" w:vertAnchor="text" w:horzAnchor="page" w:tblpXSpec="center" w:tblpY="23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6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07" w:type="dxa"/>
            <w:tcBorders>
              <w:top w:val="single" w:color="auto" w:sz="4" w:space="0"/>
              <w:left w:val="single" w:color="auto" w:sz="4" w:space="0"/>
              <w:bottom w:val="single" w:color="auto" w:sz="4" w:space="0"/>
              <w:right w:val="nil"/>
              <w:insideV w:val="nil"/>
              <w:tl2br w:val="nil"/>
              <w:tr2bl w:val="nil"/>
            </w:tcBorders>
            <w:shd w:val="clear" w:color="auto" w:fill="FFFFFF"/>
            <w:vAlign w:val="center"/>
          </w:tcPr>
          <w:p>
            <w:pPr>
              <w:pStyle w:val="17"/>
              <w:rPr>
                <w:rFonts w:hint="default" w:eastAsia="华文楷体"/>
                <w:b w:val="0"/>
                <w:bCs/>
                <w:color w:val="FFFFFF"/>
                <w:lang w:val="en-US" w:eastAsia="zh-CN"/>
              </w:rPr>
            </w:pPr>
            <w:r>
              <w:rPr>
                <w:rFonts w:hint="eastAsia"/>
                <w:b w:val="0"/>
                <w:bCs/>
                <w:color w:val="auto"/>
                <w:lang w:val="en-US" w:eastAsia="zh-CN"/>
              </w:rPr>
              <w:t>Item</w:t>
            </w:r>
          </w:p>
        </w:tc>
        <w:tc>
          <w:tcPr>
            <w:tcW w:w="6679" w:type="dxa"/>
            <w:tcBorders>
              <w:top w:val="single" w:color="auto" w:sz="4" w:space="0"/>
              <w:left w:val="single" w:color="auto" w:sz="4" w:space="0"/>
              <w:bottom w:val="single" w:color="auto" w:sz="4" w:space="0"/>
              <w:right w:val="single" w:color="auto" w:sz="4" w:space="0"/>
              <w:insideV w:val="nil"/>
              <w:tl2br w:val="nil"/>
              <w:tr2bl w:val="nil"/>
            </w:tcBorders>
            <w:shd w:val="clear" w:color="auto" w:fill="FFFFFF"/>
            <w:vAlign w:val="center"/>
          </w:tcPr>
          <w:p>
            <w:pPr>
              <w:pStyle w:val="17"/>
              <w:rPr>
                <w:b w:val="0"/>
                <w:bCs/>
                <w:color w:val="FFFFFF"/>
              </w:rPr>
            </w:pPr>
            <w:r>
              <w:rPr>
                <w:rFonts w:hint="eastAsia"/>
                <w:b w:val="0"/>
                <w:bCs/>
                <w:color w:val="auto"/>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tcBorders>
              <w:top w:val="single" w:color="auto" w:sz="4" w:space="0"/>
            </w:tcBorders>
            <w:shd w:val="clear" w:color="auto" w:fill="FFFFFF"/>
            <w:vAlign w:val="center"/>
          </w:tcPr>
          <w:p>
            <w:pPr>
              <w:pStyle w:val="17"/>
              <w:rPr>
                <w:rFonts w:hint="default" w:eastAsia="华文楷体"/>
                <w:b w:val="0"/>
                <w:bCs/>
                <w:lang w:val="en-US" w:eastAsia="zh-CN"/>
              </w:rPr>
            </w:pPr>
            <w:r>
              <w:rPr>
                <w:rFonts w:hint="eastAsia"/>
                <w:b w:val="0"/>
                <w:bCs/>
                <w:lang w:val="en-US" w:eastAsia="zh-CN"/>
              </w:rPr>
              <w:t>Test range</w:t>
            </w:r>
          </w:p>
        </w:tc>
        <w:tc>
          <w:tcPr>
            <w:tcW w:w="6679" w:type="dxa"/>
            <w:tcBorders>
              <w:top w:val="single" w:color="auto" w:sz="4" w:space="0"/>
            </w:tcBorders>
            <w:shd w:val="clear" w:color="auto" w:fill="FFFFFF"/>
            <w:vAlign w:val="center"/>
          </w:tcPr>
          <w:p>
            <w:pPr>
              <w:pStyle w:val="17"/>
            </w:pPr>
            <w:r>
              <w:t>0.01～200 g/</w:t>
            </w:r>
            <w:r>
              <w:rPr>
                <w:rFonts w:hint="eastAsia"/>
              </w:rPr>
              <w:t>(</w:t>
            </w:r>
            <w:r>
              <w:t>m</w:t>
            </w:r>
            <w:r>
              <w:rPr>
                <w:vertAlign w:val="superscript"/>
              </w:rPr>
              <w:t>2</w:t>
            </w:r>
            <w:r>
              <w:t>·24h</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b w:val="0"/>
                <w:bCs/>
              </w:rPr>
            </w:pPr>
            <w:r>
              <w:rPr>
                <w:rFonts w:hint="eastAsia"/>
                <w:b w:val="0"/>
                <w:bCs/>
                <w:lang w:val="en-US" w:eastAsia="zh-CN"/>
              </w:rPr>
              <w:t>R</w:t>
            </w:r>
            <w:r>
              <w:rPr>
                <w:rFonts w:hint="eastAsia"/>
                <w:b w:val="0"/>
                <w:bCs/>
              </w:rPr>
              <w:t>esolution</w:t>
            </w:r>
          </w:p>
        </w:tc>
        <w:tc>
          <w:tcPr>
            <w:tcW w:w="6679" w:type="dxa"/>
            <w:shd w:val="clear" w:color="auto" w:fill="FFFFFF"/>
            <w:vAlign w:val="center"/>
          </w:tcPr>
          <w:p>
            <w:pPr>
              <w:pStyle w:val="17"/>
            </w:pPr>
            <w:r>
              <w:t>0.0</w:t>
            </w:r>
            <w:r>
              <w:rPr>
                <w:rFonts w:hint="eastAsia"/>
              </w:rPr>
              <w:t>0</w:t>
            </w:r>
            <w:r>
              <w:t>01 g/</w:t>
            </w:r>
            <w:r>
              <w:rPr>
                <w:rFonts w:hint="eastAsia"/>
              </w:rPr>
              <w:t>(</w:t>
            </w:r>
            <w:r>
              <w:t>m</w:t>
            </w:r>
            <w:r>
              <w:rPr>
                <w:vertAlign w:val="superscript"/>
              </w:rPr>
              <w:t>2</w:t>
            </w:r>
            <w:r>
              <w:t>·24h</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b w:val="0"/>
                <w:bCs/>
              </w:rPr>
            </w:pPr>
            <w:r>
              <w:rPr>
                <w:rFonts w:hint="eastAsia"/>
                <w:b w:val="0"/>
                <w:bCs/>
              </w:rPr>
              <w:t>Temperature control range</w:t>
            </w:r>
          </w:p>
        </w:tc>
        <w:tc>
          <w:tcPr>
            <w:tcW w:w="6679" w:type="dxa"/>
            <w:shd w:val="clear" w:color="auto" w:fill="FFFFFF"/>
            <w:vAlign w:val="center"/>
          </w:tcPr>
          <w:p>
            <w:pPr>
              <w:pStyle w:val="17"/>
            </w:pPr>
            <w:r>
              <w:rPr>
                <w:rFonts w:hint="eastAsia"/>
              </w:rPr>
              <w:t>15</w:t>
            </w:r>
            <w:r>
              <w:t>～</w:t>
            </w:r>
            <w:r>
              <w:rPr>
                <w:rFonts w:hint="eastAsia"/>
              </w:rPr>
              <w:t>45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b w:val="0"/>
                <w:bCs/>
              </w:rPr>
            </w:pPr>
            <w:r>
              <w:rPr>
                <w:rFonts w:hint="eastAsia"/>
                <w:b w:val="0"/>
                <w:bCs/>
              </w:rPr>
              <w:t>Temperature control accuracy</w:t>
            </w:r>
          </w:p>
        </w:tc>
        <w:tc>
          <w:tcPr>
            <w:tcW w:w="6679" w:type="dxa"/>
            <w:shd w:val="clear" w:color="auto" w:fill="FFFFFF"/>
            <w:vAlign w:val="center"/>
          </w:tcPr>
          <w:p>
            <w:pPr>
              <w:pStyle w:val="17"/>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b w:val="0"/>
                <w:bCs/>
              </w:rPr>
            </w:pPr>
            <w:r>
              <w:rPr>
                <w:rFonts w:hint="eastAsia"/>
                <w:b w:val="0"/>
                <w:bCs/>
              </w:rPr>
              <w:t>Humidity control</w:t>
            </w:r>
            <w:r>
              <w:rPr>
                <w:rFonts w:hint="eastAsia"/>
                <w:b w:val="0"/>
                <w:bCs/>
                <w:lang w:val="en-US" w:eastAsia="zh-CN"/>
              </w:rPr>
              <w:t xml:space="preserve"> </w:t>
            </w:r>
            <w:r>
              <w:rPr>
                <w:rFonts w:hint="eastAsia"/>
                <w:b w:val="0"/>
                <w:bCs/>
              </w:rPr>
              <w:t>range</w:t>
            </w:r>
          </w:p>
        </w:tc>
        <w:tc>
          <w:tcPr>
            <w:tcW w:w="6679" w:type="dxa"/>
            <w:shd w:val="clear" w:color="auto" w:fill="FFFFFF"/>
            <w:vAlign w:val="center"/>
          </w:tcPr>
          <w:p>
            <w:pPr>
              <w:pStyle w:val="17"/>
            </w:pPr>
            <w:r>
              <w:rPr>
                <w:rFonts w:hint="eastAsia"/>
                <w:color w:val="000000"/>
                <w:lang w:val="en-US" w:eastAsia="zh-CN"/>
              </w:rPr>
              <w:t>(</w:t>
            </w:r>
            <w:r>
              <w:rPr>
                <w:color w:val="000000"/>
              </w:rPr>
              <w:t>5～90</w:t>
            </w:r>
            <w:r>
              <w:rPr>
                <w:rFonts w:hint="eastAsia"/>
                <w:color w:val="000000"/>
                <w:lang w:val="en-US" w:eastAsia="zh-CN"/>
              </w:rPr>
              <w:t xml:space="preserve">) </w:t>
            </w:r>
            <w:r>
              <w:rPr>
                <w:color w:val="000000"/>
              </w:rPr>
              <w:t>%RH</w:t>
            </w:r>
            <w:r>
              <w:rPr>
                <w:rFonts w:hint="eastAsia"/>
                <w:color w:val="000000"/>
                <w:lang w:val="en-US" w:eastAsia="zh-CN"/>
              </w:rPr>
              <w:t xml:space="preserve">, </w:t>
            </w:r>
            <w:r>
              <w:rPr>
                <w:rFonts w:hint="eastAsia"/>
                <w:color w:val="000000"/>
              </w:rPr>
              <w:t>100%RH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eastAsia" w:eastAsia="华文楷体"/>
                <w:b w:val="0"/>
                <w:bCs/>
                <w:lang w:val="en-US" w:eastAsia="zh-CN"/>
              </w:rPr>
            </w:pPr>
            <w:r>
              <w:rPr>
                <w:rFonts w:hint="eastAsia"/>
                <w:b w:val="0"/>
                <w:bCs/>
              </w:rPr>
              <w:t>Humidity control</w:t>
            </w:r>
            <w:r>
              <w:rPr>
                <w:rFonts w:hint="eastAsia"/>
                <w:b w:val="0"/>
                <w:bCs/>
                <w:lang w:val="en-US" w:eastAsia="zh-CN"/>
              </w:rPr>
              <w:t xml:space="preserve"> </w:t>
            </w:r>
            <w:r>
              <w:rPr>
                <w:rFonts w:hint="eastAsia"/>
                <w:b w:val="0"/>
                <w:bCs/>
              </w:rPr>
              <w:t>accuracy</w:t>
            </w:r>
          </w:p>
        </w:tc>
        <w:tc>
          <w:tcPr>
            <w:tcW w:w="6679" w:type="dxa"/>
            <w:shd w:val="clear" w:color="auto" w:fill="FFFFFF"/>
            <w:vAlign w:val="center"/>
          </w:tcPr>
          <w:p>
            <w:pPr>
              <w:pStyle w:val="17"/>
            </w:pPr>
            <w:r>
              <w:t>±</w:t>
            </w:r>
            <w:r>
              <w:rPr>
                <w:rFonts w:hint="eastAsia"/>
              </w:rPr>
              <w:t>2</w:t>
            </w:r>
            <w:r>
              <w:t>%RH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b w:val="0"/>
                <w:bCs/>
              </w:rPr>
            </w:pPr>
            <w:r>
              <w:rPr>
                <w:rFonts w:hint="eastAsia"/>
                <w:b w:val="0"/>
                <w:bCs/>
              </w:rPr>
              <w:t>Permeable area</w:t>
            </w:r>
          </w:p>
        </w:tc>
        <w:tc>
          <w:tcPr>
            <w:tcW w:w="6679" w:type="dxa"/>
            <w:shd w:val="clear" w:color="auto" w:fill="FFFFFF"/>
            <w:vAlign w:val="center"/>
          </w:tcPr>
          <w:p>
            <w:pPr>
              <w:pStyle w:val="17"/>
            </w:pPr>
            <w:r>
              <w:t>50.24 cm</w:t>
            </w:r>
            <w:r>
              <w:rPr>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default" w:eastAsia="华文楷体"/>
                <w:b w:val="0"/>
                <w:bCs/>
                <w:lang w:val="en-US" w:eastAsia="zh-CN"/>
              </w:rPr>
            </w:pPr>
            <w:r>
              <w:rPr>
                <w:rFonts w:hint="eastAsia"/>
                <w:b w:val="0"/>
                <w:bCs/>
                <w:lang w:val="en-US" w:eastAsia="zh-CN"/>
              </w:rPr>
              <w:t>Sample size</w:t>
            </w:r>
          </w:p>
        </w:tc>
        <w:tc>
          <w:tcPr>
            <w:tcW w:w="6679" w:type="dxa"/>
            <w:shd w:val="clear" w:color="auto" w:fill="FFFFFF"/>
            <w:vAlign w:val="center"/>
          </w:tcPr>
          <w:p>
            <w:pPr>
              <w:pStyle w:val="17"/>
            </w:pPr>
            <w:r>
              <w:t>Φ</w:t>
            </w:r>
            <w:r>
              <w:rPr>
                <w:rFonts w:hint="eastAsia"/>
              </w:rPr>
              <w:t>100</w:t>
            </w:r>
            <w:r>
              <w:t xml:space="preserve">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default" w:eastAsia="华文楷体"/>
                <w:b w:val="0"/>
                <w:bCs/>
                <w:lang w:val="en-US" w:eastAsia="zh-CN"/>
              </w:rPr>
            </w:pPr>
            <w:r>
              <w:rPr>
                <w:rFonts w:hint="eastAsia"/>
                <w:b w:val="0"/>
                <w:bCs/>
                <w:lang w:val="en-US" w:eastAsia="zh-CN"/>
              </w:rPr>
              <w:t>Sample thickness</w:t>
            </w:r>
          </w:p>
        </w:tc>
        <w:tc>
          <w:tcPr>
            <w:tcW w:w="6679" w:type="dxa"/>
            <w:shd w:val="clear" w:color="auto" w:fill="FFFFFF"/>
            <w:vAlign w:val="center"/>
          </w:tcPr>
          <w:p>
            <w:pPr>
              <w:pStyle w:val="17"/>
            </w:pPr>
            <w:r>
              <w:t>≤</w:t>
            </w:r>
            <w:r>
              <w:rPr>
                <w:rFonts w:hint="eastAsia"/>
              </w:rPr>
              <w:t xml:space="preserve">3 </w:t>
            </w:r>
            <w: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default"/>
                <w:b w:val="0"/>
                <w:bCs/>
                <w:lang w:val="en-US"/>
              </w:rPr>
            </w:pPr>
            <w:r>
              <w:rPr>
                <w:rFonts w:hint="eastAsia"/>
                <w:b w:val="0"/>
                <w:bCs/>
                <w:lang w:val="en-US" w:eastAsia="zh-CN"/>
              </w:rPr>
              <w:t>Sample quantity</w:t>
            </w:r>
          </w:p>
        </w:tc>
        <w:tc>
          <w:tcPr>
            <w:tcW w:w="6679" w:type="dxa"/>
            <w:shd w:val="clear" w:color="auto" w:fill="FFFFFF"/>
            <w:vAlign w:val="center"/>
          </w:tcPr>
          <w:p>
            <w:pPr>
              <w:pStyle w:val="17"/>
              <w:rPr>
                <w:rFonts w:hint="default" w:eastAsia="华文楷体"/>
                <w:lang w:val="en-US" w:eastAsia="zh-CN"/>
              </w:rPr>
            </w:pPr>
            <w:r>
              <w:t>1</w:t>
            </w:r>
            <w:r>
              <w:rPr>
                <w:rFonts w:hint="eastAsia"/>
                <w:lang w:val="en-US" w:eastAsia="zh-CN"/>
              </w:rPr>
              <w:t xml:space="preserve">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default" w:eastAsia="华文楷体"/>
                <w:b w:val="0"/>
                <w:bCs/>
                <w:lang w:val="en-US" w:eastAsia="zh-CN"/>
              </w:rPr>
            </w:pPr>
            <w:r>
              <w:rPr>
                <w:rFonts w:hint="eastAsia"/>
                <w:b w:val="0"/>
                <w:bCs/>
                <w:lang w:val="en-US" w:eastAsia="zh-CN"/>
              </w:rPr>
              <w:t>Carrier gas</w:t>
            </w:r>
          </w:p>
        </w:tc>
        <w:tc>
          <w:tcPr>
            <w:tcW w:w="6679" w:type="dxa"/>
            <w:shd w:val="clear" w:color="auto" w:fill="FFFFFF"/>
            <w:vAlign w:val="center"/>
          </w:tcPr>
          <w:p>
            <w:pPr>
              <w:pStyle w:val="17"/>
            </w:pPr>
            <w:r>
              <w:t>99.999%</w:t>
            </w:r>
            <w:r>
              <w:rPr>
                <w:rFonts w:hint="eastAsia"/>
                <w:lang w:val="en-US" w:eastAsia="zh-CN"/>
              </w:rPr>
              <w:t xml:space="preserve"> </w:t>
            </w:r>
            <w:r>
              <w:rPr>
                <w:rFonts w:hint="eastAsia"/>
              </w:rPr>
              <w:t>Nitrogen (user-provided)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b w:val="0"/>
                <w:bCs/>
              </w:rPr>
            </w:pPr>
            <w:r>
              <w:rPr>
                <w:rFonts w:hint="eastAsia"/>
                <w:b w:val="0"/>
                <w:bCs/>
              </w:rPr>
              <w:t>Carrier gas pressure</w:t>
            </w:r>
          </w:p>
        </w:tc>
        <w:tc>
          <w:tcPr>
            <w:tcW w:w="6679" w:type="dxa"/>
            <w:shd w:val="clear" w:color="auto" w:fill="FFFFFF"/>
            <w:vAlign w:val="center"/>
          </w:tcPr>
          <w:p>
            <w:pPr>
              <w:pStyle w:val="17"/>
            </w:pPr>
            <w:r>
              <w:t>≥0.1</w:t>
            </w:r>
            <w:r>
              <w:rPr>
                <w:rFonts w:hint="eastAsia"/>
              </w:rPr>
              <w:t xml:space="preserve"> </w:t>
            </w:r>
            <w: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b w:val="0"/>
                <w:bCs/>
              </w:rPr>
            </w:pPr>
            <w:r>
              <w:rPr>
                <w:rFonts w:hint="eastAsia"/>
                <w:b w:val="0"/>
                <w:bCs/>
              </w:rPr>
              <w:t>Carrier gas flow</w:t>
            </w:r>
          </w:p>
        </w:tc>
        <w:tc>
          <w:tcPr>
            <w:tcW w:w="6679" w:type="dxa"/>
            <w:shd w:val="clear" w:color="auto" w:fill="FFFFFF"/>
            <w:vAlign w:val="center"/>
          </w:tcPr>
          <w:p>
            <w:pPr>
              <w:pStyle w:val="17"/>
            </w:pPr>
            <w:r>
              <w:rPr>
                <w:rFonts w:hint="eastAsia"/>
              </w:rPr>
              <w:t>5</w:t>
            </w:r>
            <w:r>
              <w:t>~1</w:t>
            </w:r>
            <w:r>
              <w:rPr>
                <w:rFonts w:hint="eastAsia"/>
              </w:rPr>
              <w:t>0</w:t>
            </w:r>
            <w:r>
              <w:t>0 mL/min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default" w:eastAsia="华文楷体"/>
                <w:b w:val="0"/>
                <w:bCs/>
                <w:lang w:val="en-US" w:eastAsia="zh-CN"/>
              </w:rPr>
            </w:pPr>
            <w:r>
              <w:rPr>
                <w:rFonts w:hint="eastAsia"/>
                <w:b w:val="0"/>
                <w:bCs/>
                <w:lang w:val="en-US" w:eastAsia="zh-CN"/>
              </w:rPr>
              <w:t>Dimension</w:t>
            </w:r>
          </w:p>
        </w:tc>
        <w:tc>
          <w:tcPr>
            <w:tcW w:w="6679" w:type="dxa"/>
            <w:shd w:val="clear" w:color="auto" w:fill="FFFFFF"/>
            <w:vAlign w:val="center"/>
          </w:tcPr>
          <w:p>
            <w:pPr>
              <w:pStyle w:val="17"/>
            </w:pPr>
            <w:r>
              <w:t>380</w:t>
            </w:r>
            <w:r>
              <w:rPr>
                <w:rFonts w:hint="eastAsia"/>
              </w:rPr>
              <w:t>*</w:t>
            </w:r>
            <w:r>
              <w:t>545</w:t>
            </w:r>
            <w:r>
              <w:rPr>
                <w:rFonts w:hint="eastAsia"/>
              </w:rPr>
              <w:t>*</w:t>
            </w:r>
            <w:r>
              <w:t>315</w:t>
            </w:r>
            <w:r>
              <w:rPr>
                <w:rFonts w:hint="eastAsia"/>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default" w:eastAsia="华文楷体"/>
                <w:b w:val="0"/>
                <w:bCs/>
                <w:lang w:val="en-US" w:eastAsia="zh-CN"/>
              </w:rPr>
            </w:pPr>
            <w:r>
              <w:rPr>
                <w:rFonts w:hint="eastAsia"/>
                <w:b w:val="0"/>
                <w:bCs/>
                <w:lang w:val="en-US" w:eastAsia="zh-CN"/>
              </w:rPr>
              <w:t>Power</w:t>
            </w:r>
          </w:p>
        </w:tc>
        <w:tc>
          <w:tcPr>
            <w:tcW w:w="6679" w:type="dxa"/>
            <w:shd w:val="clear" w:color="auto" w:fill="FFFFFF"/>
            <w:vAlign w:val="center"/>
          </w:tcPr>
          <w:p>
            <w:pPr>
              <w:pStyle w:val="17"/>
            </w:pPr>
            <w:r>
              <w:t>450</w:t>
            </w:r>
            <w:r>
              <w:rPr>
                <w:rFonts w:hint="eastAsia"/>
              </w:rPr>
              <w:t xml:space="preserve">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shd w:val="clear" w:color="auto" w:fill="FFFFFF"/>
            <w:vAlign w:val="center"/>
          </w:tcPr>
          <w:p>
            <w:pPr>
              <w:pStyle w:val="17"/>
              <w:rPr>
                <w:rFonts w:hint="default" w:eastAsia="华文楷体"/>
                <w:b w:val="0"/>
                <w:bCs/>
                <w:lang w:val="en-US" w:eastAsia="zh-CN"/>
              </w:rPr>
            </w:pPr>
            <w:r>
              <w:rPr>
                <w:rFonts w:hint="eastAsia"/>
                <w:b w:val="0"/>
                <w:bCs/>
                <w:lang w:val="en-US" w:eastAsia="zh-CN"/>
              </w:rPr>
              <w:t>Power supply</w:t>
            </w:r>
          </w:p>
        </w:tc>
        <w:tc>
          <w:tcPr>
            <w:tcW w:w="6679" w:type="dxa"/>
            <w:shd w:val="clear" w:color="auto" w:fill="FFFFFF"/>
            <w:vAlign w:val="center"/>
          </w:tcPr>
          <w:p>
            <w:pPr>
              <w:pStyle w:val="17"/>
            </w:pPr>
            <w:r>
              <w:t>AC 220</w:t>
            </w:r>
            <w:r>
              <w:rPr>
                <w:rFonts w:hint="eastAsia"/>
              </w:rPr>
              <w:t xml:space="preserve"> </w:t>
            </w:r>
            <w:r>
              <w:t>V</w:t>
            </w:r>
            <w:r>
              <w:rPr>
                <w:rFonts w:hint="eastAsia"/>
                <w:lang w:val="en-US" w:eastAsia="zh-CN"/>
              </w:rPr>
              <w:t xml:space="preserve">, </w:t>
            </w:r>
            <w:r>
              <w:t>50</w:t>
            </w:r>
            <w:r>
              <w:rPr>
                <w:rFonts w:hint="eastAsia"/>
              </w:rPr>
              <w:t xml:space="preserve"> </w:t>
            </w:r>
            <w:r>
              <w:t xml:space="preserve">Hz </w:t>
            </w:r>
          </w:p>
        </w:tc>
      </w:tr>
    </w:tbl>
    <w:p>
      <w:pPr>
        <w:pStyle w:val="42"/>
        <w:spacing w:before="156" w:after="156"/>
        <w:rPr>
          <w:b/>
          <w:bCs/>
        </w:rPr>
      </w:pPr>
    </w:p>
    <w:p/>
    <w:p>
      <w:pPr>
        <w:pStyle w:val="42"/>
        <w:spacing w:before="156" w:after="156"/>
        <w:rPr>
          <w:b/>
          <w:bCs/>
        </w:rPr>
      </w:pPr>
      <w:r>
        <w:rPr>
          <w:b/>
          <w:bCs/>
        </w:rPr>
        <w:t>Features</w:t>
      </w:r>
    </w:p>
    <w:p>
      <w:pPr>
        <w:pStyle w:val="44"/>
        <w:numPr>
          <w:ilvl w:val="0"/>
          <w:numId w:val="1"/>
        </w:numPr>
        <w:spacing w:before="156" w:after="156"/>
        <w:rPr>
          <w:rFonts w:hint="eastAsia"/>
          <w:b/>
          <w:bCs/>
        </w:rPr>
      </w:pPr>
      <w:r>
        <w:rPr>
          <w:rFonts w:hint="eastAsia"/>
          <w:b/>
          <w:bCs/>
        </w:rPr>
        <w:t>High-precision patented infrared moisture sensor</w:t>
      </w:r>
    </w:p>
    <w:p>
      <w:pPr>
        <w:ind w:firstLine="480"/>
      </w:pPr>
      <w:r>
        <w:rPr>
          <w:rFonts w:hint="eastAsia"/>
        </w:rPr>
        <w:t>The high-precision infrared moisture analysis sensor independently developed and prepared by GBPI has ultra-high stability, ultra-low failure rate and ultra-long service life, high sensitivity, and a resolution of up to 0.0001 g/(m2·24h).</w:t>
      </w:r>
    </w:p>
    <w:p>
      <w:pPr>
        <w:pStyle w:val="45"/>
        <w:numPr>
          <w:ilvl w:val="0"/>
          <w:numId w:val="2"/>
        </w:numPr>
        <w:ind w:firstLineChars="0"/>
        <w:rPr>
          <w:rFonts w:eastAsia="黑体"/>
        </w:rPr>
      </w:pPr>
      <w:r>
        <w:rPr>
          <w:rFonts w:hint="eastAsia" w:eastAsia="黑体"/>
          <w:b/>
          <w:bCs/>
        </w:rPr>
        <w:t>Accurate and reliable test data</w:t>
      </w:r>
    </w:p>
    <w:p>
      <w:pPr>
        <w:pStyle w:val="45"/>
        <w:ind w:left="420" w:firstLine="0" w:firstLineChars="0"/>
        <w:rPr>
          <w:rFonts w:hint="eastAsia"/>
          <w:bCs/>
        </w:rPr>
      </w:pPr>
      <w:r>
        <w:rPr>
          <w:rFonts w:hint="eastAsia"/>
          <w:bCs/>
        </w:rPr>
        <w:t>Precise control of test temperature and humidity. Equipped with a high-precision temperature and humidity sensor, the temperature and humidity of the test chamber are stable, the temperature control accuracy can reach 0.2°C, and the humidity can be accurate to ±2%RH.</w:t>
      </w:r>
    </w:p>
    <w:p>
      <w:pPr>
        <w:pStyle w:val="45"/>
        <w:ind w:left="420" w:firstLine="0" w:firstLineChars="0"/>
        <w:rPr>
          <w:rFonts w:hint="eastAsia"/>
          <w:bCs/>
        </w:rPr>
      </w:pPr>
      <w:r>
        <w:rPr>
          <w:rFonts w:hint="eastAsia"/>
          <w:bCs/>
        </w:rPr>
        <w:t>Automatic test mode, real-time monitoring of temperature, humidity, flow values ​​and curves during the test process, high test repeatability.</w:t>
      </w:r>
    </w:p>
    <w:p>
      <w:pPr>
        <w:pStyle w:val="44"/>
        <w:numPr>
          <w:ilvl w:val="0"/>
          <w:numId w:val="3"/>
        </w:numPr>
        <w:spacing w:before="156" w:after="156"/>
        <w:rPr>
          <w:b/>
          <w:bCs/>
        </w:rPr>
      </w:pPr>
      <w:r>
        <w:rPr>
          <w:rFonts w:hint="eastAsia"/>
          <w:b/>
          <w:bCs/>
        </w:rPr>
        <w:t>Ultra-wide test range, high instrument applicability</w:t>
      </w:r>
    </w:p>
    <w:p>
      <w:pPr>
        <w:ind w:firstLine="480"/>
        <w:rPr>
          <w:rFonts w:hint="eastAsia"/>
        </w:rPr>
      </w:pPr>
      <w:r>
        <w:rPr>
          <w:rFonts w:hint="eastAsia"/>
        </w:rPr>
        <w:t>The instrument is equipped with a single cavity, which is compact and flexible, saving space.</w:t>
      </w:r>
    </w:p>
    <w:p>
      <w:pPr>
        <w:ind w:firstLine="480"/>
        <w:rPr>
          <w:rFonts w:hint="eastAsia"/>
        </w:rPr>
      </w:pPr>
      <w:r>
        <w:rPr>
          <w:rFonts w:hint="eastAsia"/>
        </w:rPr>
        <w:t>Ultra-wide test range [0.01～200 g/(m2·24h)], meeting the test requirements of various high, medium and low barrier materials, with the addition of adapter accessories, it can test the water vapor permeability of bottles, bags, bowls and other containers excess.</w:t>
      </w:r>
    </w:p>
    <w:p>
      <w:pPr>
        <w:pStyle w:val="44"/>
        <w:numPr>
          <w:ilvl w:val="0"/>
          <w:numId w:val="3"/>
        </w:numPr>
        <w:spacing w:before="156" w:after="156"/>
      </w:pPr>
      <w:r>
        <w:rPr>
          <w:rFonts w:hint="eastAsia"/>
          <w:b/>
          <w:bCs/>
        </w:rPr>
        <w:t>Intelligent operating system, global certification</w:t>
      </w:r>
    </w:p>
    <w:p>
      <w:pPr>
        <w:ind w:firstLine="480"/>
        <w:rPr>
          <w:rFonts w:hint="eastAsia"/>
        </w:rPr>
      </w:pPr>
      <w:r>
        <w:rPr>
          <w:rFonts w:hint="eastAsia"/>
        </w:rPr>
        <w:t>Self-developed intelligent operating system, modular design, flexible setting of test parameters, intuitive and convenient operation, while meeting the needs of scientific research and testing.</w:t>
      </w:r>
    </w:p>
    <w:p>
      <w:pPr>
        <w:ind w:firstLine="480"/>
        <w:rPr>
          <w:rFonts w:hint="eastAsia"/>
        </w:rPr>
      </w:pPr>
      <w:r>
        <w:rPr>
          <w:rFonts w:hint="eastAsia"/>
        </w:rPr>
        <w:t>Designed according to the GMP appendix "Computerized System", it has an audit trail function and multi-level authority settings for users, which can meet the needs of the pharmaceutical industry for data traceability.</w:t>
      </w:r>
    </w:p>
    <w:p>
      <w:pPr>
        <w:ind w:firstLine="480"/>
        <w:rPr>
          <w:rFonts w:eastAsia="黑体"/>
          <w:color w:val="000000"/>
        </w:rPr>
      </w:pPr>
      <w:r>
        <w:rPr>
          <w:rFonts w:hint="eastAsia"/>
        </w:rPr>
        <w:t>Personalized test reports can be set on demand, data output forms in multiple formats are supported, electronic signatures, and online submission of audit reports are supported.</w:t>
      </w:r>
    </w:p>
    <w:p>
      <w:pPr>
        <w:pStyle w:val="45"/>
        <w:numPr>
          <w:ilvl w:val="0"/>
          <w:numId w:val="4"/>
        </w:numPr>
        <w:ind w:firstLineChars="0"/>
        <w:rPr>
          <w:rFonts w:eastAsia="黑体"/>
          <w:b/>
          <w:bCs/>
        </w:rPr>
      </w:pPr>
      <w:r>
        <w:rPr>
          <w:rFonts w:hint="eastAsia" w:eastAsia="黑体"/>
          <w:b/>
          <w:bCs/>
        </w:rPr>
        <w:t>Professional calibration service, accurate and reliable data</w:t>
      </w:r>
    </w:p>
    <w:p>
      <w:pPr>
        <w:ind w:firstLine="480"/>
        <w:rPr>
          <w:b/>
          <w:bCs/>
        </w:rPr>
      </w:pPr>
      <w:r>
        <w:rPr>
          <w:rFonts w:hint="eastAsia"/>
        </w:rPr>
        <w:t>Our company has the Water Vapor Transmission Rate "National Standard Substance Grading Certificate" approved and issued by the "General Administration of Quality Supervision, Inspection and Quarantine of the People's Republic of China", the standard substance number (GBW(E)130543 / GBW(E)130544). The self-developed national standard material is used to calibrate and verify the instrument to ensure the accuracy, versatility and authority of the test data.</w:t>
      </w:r>
    </w:p>
    <w:p>
      <w:pPr>
        <w:pStyle w:val="42"/>
        <w:spacing w:before="156" w:after="156"/>
        <w:rPr>
          <w:b/>
          <w:bCs/>
        </w:rPr>
      </w:pPr>
      <w:r>
        <w:rPr>
          <w:b/>
          <w:bCs/>
        </w:rPr>
        <w:t>Application</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21"/>
        <w:gridCol w:w="5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9" w:type="pct"/>
            <w:shd w:val="clear" w:color="auto" w:fill="auto"/>
            <w:noWrap/>
            <w:vAlign w:val="center"/>
          </w:tcPr>
          <w:p>
            <w:pPr>
              <w:pStyle w:val="17"/>
              <w:ind w:firstLine="360"/>
            </w:pPr>
            <w:r>
              <w:rPr>
                <w:rFonts w:hint="eastAsia"/>
              </w:rPr>
              <w:drawing>
                <wp:inline distT="0" distB="0" distL="0" distR="0">
                  <wp:extent cx="955675" cy="955675"/>
                  <wp:effectExtent l="0" t="0" r="0"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55675" cy="955675"/>
                          </a:xfrm>
                          <a:prstGeom prst="rect">
                            <a:avLst/>
                          </a:prstGeom>
                          <a:noFill/>
                          <a:ln>
                            <a:noFill/>
                          </a:ln>
                        </pic:spPr>
                      </pic:pic>
                    </a:graphicData>
                  </a:graphic>
                </wp:inline>
              </w:drawing>
            </w:r>
          </w:p>
        </w:tc>
        <w:tc>
          <w:tcPr>
            <w:tcW w:w="981" w:type="pct"/>
            <w:shd w:val="clear" w:color="auto" w:fill="FFFFFF"/>
            <w:vAlign w:val="center"/>
          </w:tcPr>
          <w:p>
            <w:pPr>
              <w:pStyle w:val="17"/>
              <w:ind w:firstLine="360"/>
            </w:pPr>
            <w:r>
              <w:rPr>
                <w:rFonts w:hint="eastAsia"/>
              </w:rPr>
              <w:t>F</w:t>
            </w:r>
            <w:r>
              <w:t>ilm</w:t>
            </w:r>
          </w:p>
        </w:tc>
        <w:tc>
          <w:tcPr>
            <w:tcW w:w="2800" w:type="pct"/>
            <w:shd w:val="clear" w:color="auto" w:fill="FFFFFF"/>
            <w:vAlign w:val="center"/>
          </w:tcPr>
          <w:p>
            <w:pPr>
              <w:pStyle w:val="17"/>
              <w:ind w:firstLine="360"/>
            </w:pPr>
            <w:r>
              <w:t>Water vapor transmittance test of various plastic films (PP/PET/PE/PVC/BOPP/CPP, etc.), plastic composite films, paper-plastic composite films, metal composite films, co</w:t>
            </w:r>
            <w:r>
              <w:rPr>
                <w:rFonts w:hint="eastAsia"/>
                <w:lang w:val="en-US" w:eastAsia="zh-CN"/>
              </w:rPr>
              <w:t>-</w:t>
            </w:r>
            <w:r>
              <w:t>extru</w:t>
            </w:r>
            <w:r>
              <w:rPr>
                <w:rFonts w:hint="eastAsia"/>
                <w:lang w:val="en-US" w:eastAsia="zh-CN"/>
              </w:rPr>
              <w:t>sion</w:t>
            </w:r>
            <w:r>
              <w:t xml:space="preserve"> films, aluminized films, degradable packaging films (PLA/PBAT/PBS, etc.) and other film-like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219" w:type="pct"/>
            <w:shd w:val="clear" w:color="auto" w:fill="auto"/>
            <w:noWrap/>
            <w:vAlign w:val="center"/>
          </w:tcPr>
          <w:p>
            <w:pPr>
              <w:pStyle w:val="17"/>
              <w:ind w:firstLine="360"/>
            </w:pPr>
            <w:r>
              <w:drawing>
                <wp:inline distT="0" distB="0" distL="0" distR="0">
                  <wp:extent cx="1013460" cy="955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13460" cy="955675"/>
                          </a:xfrm>
                          <a:prstGeom prst="rect">
                            <a:avLst/>
                          </a:prstGeom>
                          <a:noFill/>
                          <a:ln>
                            <a:noFill/>
                          </a:ln>
                        </pic:spPr>
                      </pic:pic>
                    </a:graphicData>
                  </a:graphic>
                </wp:inline>
              </w:drawing>
            </w:r>
          </w:p>
        </w:tc>
        <w:tc>
          <w:tcPr>
            <w:tcW w:w="981" w:type="pct"/>
            <w:shd w:val="clear" w:color="auto" w:fill="FFFFFF"/>
            <w:vAlign w:val="center"/>
          </w:tcPr>
          <w:p>
            <w:pPr>
              <w:pStyle w:val="17"/>
              <w:ind w:firstLine="360"/>
            </w:pPr>
            <w:r>
              <w:rPr>
                <w:rFonts w:hint="eastAsia"/>
              </w:rPr>
              <w:t>S</w:t>
            </w:r>
            <w:r>
              <w:t>heet</w:t>
            </w:r>
          </w:p>
        </w:tc>
        <w:tc>
          <w:tcPr>
            <w:tcW w:w="2800" w:type="pct"/>
            <w:shd w:val="clear" w:color="auto" w:fill="FFFFFF"/>
            <w:vAlign w:val="center"/>
          </w:tcPr>
          <w:p>
            <w:pPr>
              <w:pStyle w:val="17"/>
              <w:ind w:firstLine="360"/>
            </w:pPr>
            <w:r>
              <w:t>Water vapor transmittance test of solid pharmaceutical hard sheets (PP/PVC/PTP, etc.), metal composite sheets, rubber sheets and other flakes.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9" w:type="pct"/>
            <w:shd w:val="clear" w:color="auto" w:fill="auto"/>
            <w:noWrap/>
            <w:vAlign w:val="center"/>
          </w:tcPr>
          <w:p>
            <w:pPr>
              <w:pStyle w:val="17"/>
              <w:ind w:firstLine="360"/>
            </w:pPr>
            <w:r>
              <w:drawing>
                <wp:inline distT="0" distB="0" distL="0" distR="0">
                  <wp:extent cx="1186180" cy="955675"/>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86180" cy="955675"/>
                          </a:xfrm>
                          <a:prstGeom prst="rect">
                            <a:avLst/>
                          </a:prstGeom>
                          <a:noFill/>
                          <a:ln>
                            <a:noFill/>
                          </a:ln>
                          <a:effectLst/>
                        </pic:spPr>
                      </pic:pic>
                    </a:graphicData>
                  </a:graphic>
                </wp:inline>
              </w:drawing>
            </w:r>
          </w:p>
        </w:tc>
        <w:tc>
          <w:tcPr>
            <w:tcW w:w="981" w:type="pct"/>
            <w:shd w:val="clear" w:color="auto" w:fill="FFFFFF"/>
            <w:vAlign w:val="center"/>
          </w:tcPr>
          <w:p>
            <w:pPr>
              <w:pStyle w:val="17"/>
              <w:ind w:firstLine="360"/>
            </w:pPr>
            <w:r>
              <w:t>Paper, cardboard and its composites</w:t>
            </w:r>
          </w:p>
        </w:tc>
        <w:tc>
          <w:tcPr>
            <w:tcW w:w="2800" w:type="pct"/>
            <w:shd w:val="clear" w:color="auto" w:fill="FFFFFF"/>
            <w:vAlign w:val="center"/>
          </w:tcPr>
          <w:p>
            <w:pPr>
              <w:pStyle w:val="17"/>
              <w:ind w:firstLine="360"/>
            </w:pPr>
            <w:r>
              <w:t>Water vapor transmittance test of coated paper, silicone paper, cigarette bag aluminized paper, paper aluminum-plastic composite sheet and other paper and cardboard.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9" w:type="pct"/>
            <w:shd w:val="clear" w:color="auto" w:fill="auto"/>
            <w:noWrap/>
            <w:vAlign w:val="center"/>
          </w:tcPr>
          <w:p>
            <w:pPr>
              <w:pStyle w:val="17"/>
              <w:ind w:firstLine="360"/>
            </w:pPr>
            <w:r>
              <w:drawing>
                <wp:inline distT="0" distB="0" distL="0" distR="0">
                  <wp:extent cx="1177925" cy="88138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77925" cy="881380"/>
                          </a:xfrm>
                          <a:prstGeom prst="rect">
                            <a:avLst/>
                          </a:prstGeom>
                          <a:noFill/>
                          <a:ln>
                            <a:noFill/>
                          </a:ln>
                        </pic:spPr>
                      </pic:pic>
                    </a:graphicData>
                  </a:graphic>
                </wp:inline>
              </w:drawing>
            </w:r>
          </w:p>
        </w:tc>
        <w:tc>
          <w:tcPr>
            <w:tcW w:w="981" w:type="pct"/>
            <w:shd w:val="clear" w:color="auto" w:fill="FFFFFF"/>
            <w:vAlign w:val="center"/>
          </w:tcPr>
          <w:p>
            <w:pPr>
              <w:pStyle w:val="17"/>
              <w:ind w:firstLine="360"/>
            </w:pPr>
            <w:r>
              <w:t>Medicinal patches</w:t>
            </w:r>
          </w:p>
        </w:tc>
        <w:tc>
          <w:tcPr>
            <w:tcW w:w="2800" w:type="pct"/>
            <w:shd w:val="clear" w:color="auto" w:fill="FFFFFF"/>
            <w:vAlign w:val="center"/>
          </w:tcPr>
          <w:p>
            <w:pPr>
              <w:pStyle w:val="17"/>
              <w:ind w:firstLine="360"/>
            </w:pPr>
            <w:r>
              <w:t>Water vapor transmission performance test of medical plasters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19" w:type="pct"/>
            <w:shd w:val="clear" w:color="auto" w:fill="auto"/>
            <w:noWrap/>
            <w:vAlign w:val="center"/>
          </w:tcPr>
          <w:p>
            <w:pPr>
              <w:pStyle w:val="17"/>
              <w:ind w:firstLine="360"/>
            </w:pPr>
            <w:r>
              <w:drawing>
                <wp:inline distT="0" distB="0" distL="0" distR="0">
                  <wp:extent cx="1045845" cy="1101090"/>
                  <wp:effectExtent l="0" t="0" r="1905" b="3810"/>
                  <wp:docPr id="15" name="图片 15" descr="C:\Users\dell\AppData\Local\Temp\企业微信截图_16454354705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ell\AppData\Local\Temp\企业微信截图_1645435470514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49339" cy="1104424"/>
                          </a:xfrm>
                          <a:prstGeom prst="rect">
                            <a:avLst/>
                          </a:prstGeom>
                          <a:noFill/>
                          <a:ln>
                            <a:noFill/>
                          </a:ln>
                        </pic:spPr>
                      </pic:pic>
                    </a:graphicData>
                  </a:graphic>
                </wp:inline>
              </w:drawing>
            </w:r>
          </w:p>
        </w:tc>
        <w:tc>
          <w:tcPr>
            <w:tcW w:w="981" w:type="pct"/>
            <w:shd w:val="clear" w:color="auto" w:fill="FFFFFF"/>
            <w:vAlign w:val="center"/>
          </w:tcPr>
          <w:p>
            <w:pPr>
              <w:pStyle w:val="17"/>
              <w:ind w:firstLine="360"/>
            </w:pPr>
            <w:r>
              <w:t>Package</w:t>
            </w:r>
          </w:p>
        </w:tc>
        <w:tc>
          <w:tcPr>
            <w:tcW w:w="2800" w:type="pct"/>
            <w:shd w:val="clear" w:color="auto" w:fill="FFFFFF"/>
            <w:vAlign w:val="center"/>
          </w:tcPr>
          <w:p>
            <w:pPr>
              <w:pStyle w:val="17"/>
              <w:ind w:firstLine="360"/>
            </w:pPr>
            <w:r>
              <w:t>Customizable fixtures can be extended to packages such as pharmaceutical polyethylene bottles, sealed bags, pharmaceutical ointment tubes, infusion hoses, plastic trays, etc.</w:t>
            </w:r>
          </w:p>
        </w:tc>
      </w:tr>
    </w:tbl>
    <w:p>
      <w:pPr>
        <w:pStyle w:val="42"/>
        <w:spacing w:before="156" w:after="156"/>
      </w:pPr>
    </w:p>
    <w:p>
      <w:pPr>
        <w:pStyle w:val="42"/>
        <w:spacing w:before="156" w:after="156"/>
        <w:rPr>
          <w:b/>
          <w:bCs/>
        </w:rPr>
      </w:pPr>
      <w:r>
        <w:rPr>
          <w:b/>
          <w:bCs/>
        </w:rPr>
        <w:t>Factory configuration</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pct"/>
            <w:vAlign w:val="center"/>
          </w:tcPr>
          <w:p>
            <w:pPr>
              <w:pStyle w:val="17"/>
              <w:ind w:firstLine="240" w:firstLineChars="100"/>
              <w:jc w:val="both"/>
            </w:pPr>
            <w:r>
              <w:rPr>
                <w:rFonts w:hint="eastAsia"/>
              </w:rPr>
              <w:t>Standard configuration</w:t>
            </w:r>
          </w:p>
        </w:tc>
        <w:tc>
          <w:tcPr>
            <w:tcW w:w="4186" w:type="pct"/>
            <w:vAlign w:val="center"/>
          </w:tcPr>
          <w:p>
            <w:pPr>
              <w:pStyle w:val="17"/>
              <w:jc w:val="both"/>
            </w:pPr>
            <w:r>
              <w:t xml:space="preserve">Power cord, communication line, sample cutter, </w:t>
            </w:r>
            <w:r>
              <w:rPr>
                <w:rFonts w:hint="eastAsia"/>
              </w:rPr>
              <w:t xml:space="preserve">sealing grease, ferrule joint, </w:t>
            </w:r>
            <w:r>
              <w:rPr>
                <w:rFonts w:hint="eastAsia"/>
                <w:lang w:val="en-US" w:eastAsia="zh-CN"/>
              </w:rPr>
              <w:t>reference material</w:t>
            </w:r>
            <w:r>
              <w:rPr>
                <w:rFonts w:hint="eastAsia"/>
              </w:rPr>
              <w:t xml:space="preserve">, hexagonal wrench, syringe, sealing ring, syringe sealing ring, fork wrench, Phillips screwdriver, mouse, metal </w:t>
            </w:r>
            <w:r>
              <w:rPr>
                <w:rFonts w:hint="eastAsia"/>
                <w:lang w:val="en-US" w:eastAsia="zh-CN"/>
              </w:rPr>
              <w:t>gas</w:t>
            </w:r>
            <w:r>
              <w:rPr>
                <w:rFonts w:hint="eastAsia"/>
              </w:rPr>
              <w:t xml:space="preserve"> tube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17"/>
              <w:ind w:firstLine="240" w:firstLineChars="100"/>
              <w:jc w:val="both"/>
            </w:pPr>
            <w:r>
              <w:rPr>
                <w:rFonts w:hint="eastAsia"/>
              </w:rPr>
              <w:t>O</w:t>
            </w:r>
            <w:r>
              <w:t>ptional</w:t>
            </w:r>
          </w:p>
        </w:tc>
        <w:tc>
          <w:tcPr>
            <w:tcW w:w="4186" w:type="pct"/>
            <w:vAlign w:val="center"/>
          </w:tcPr>
          <w:p>
            <w:pPr>
              <w:pStyle w:val="17"/>
              <w:ind w:firstLine="420"/>
              <w:jc w:val="both"/>
              <w:rPr>
                <w:rFonts w:hint="default" w:eastAsia="华文楷体"/>
                <w:lang w:val="en-US" w:eastAsia="zh-CN"/>
              </w:rPr>
            </w:pPr>
            <w:bookmarkStart w:id="0" w:name="_GoBack"/>
            <w:bookmarkEnd w:id="0"/>
            <w:r>
              <w:t xml:space="preserve">Computer, </w:t>
            </w:r>
            <w:r>
              <w:rPr>
                <w:rFonts w:hint="eastAsia"/>
              </w:rPr>
              <w:t>Metrology certificate</w:t>
            </w:r>
            <w:r>
              <w:rPr>
                <w:rFonts w:hint="eastAsia"/>
                <w:lang w:val="en-US" w:eastAsia="zh-CN"/>
              </w:rPr>
              <w:t>, Air compressor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pPr>
              <w:pStyle w:val="17"/>
              <w:ind w:firstLine="240" w:firstLineChars="100"/>
              <w:jc w:val="both"/>
            </w:pPr>
            <w:r>
              <w:rPr>
                <w:rFonts w:hint="eastAsia"/>
              </w:rPr>
              <w:t>R</w:t>
            </w:r>
            <w:r>
              <w:t>emark</w:t>
            </w:r>
          </w:p>
        </w:tc>
        <w:tc>
          <w:tcPr>
            <w:tcW w:w="4186" w:type="pct"/>
            <w:vAlign w:val="center"/>
          </w:tcPr>
          <w:p>
            <w:pPr>
              <w:pStyle w:val="17"/>
              <w:numPr>
                <w:ilvl w:val="0"/>
                <w:numId w:val="0"/>
              </w:numPr>
              <w:jc w:val="both"/>
              <w:rPr>
                <w:rFonts w:hint="default" w:eastAsia="华文楷体"/>
                <w:lang w:val="en-US" w:eastAsia="zh-CN"/>
              </w:rPr>
            </w:pPr>
            <w:r>
              <w:rPr>
                <w:rFonts w:hint="default" w:eastAsia="华文楷体"/>
                <w:lang w:val="en-US" w:eastAsia="zh-CN"/>
              </w:rPr>
              <w:t>1. Standard laboratory environment;</w:t>
            </w:r>
          </w:p>
          <w:p>
            <w:pPr>
              <w:pStyle w:val="17"/>
              <w:numPr>
                <w:ilvl w:val="0"/>
                <w:numId w:val="0"/>
              </w:numPr>
              <w:jc w:val="both"/>
              <w:rPr>
                <w:rFonts w:hint="default" w:eastAsia="华文楷体"/>
                <w:lang w:val="en-US" w:eastAsia="zh-CN"/>
              </w:rPr>
            </w:pPr>
            <w:r>
              <w:rPr>
                <w:rFonts w:hint="default" w:eastAsia="华文楷体"/>
                <w:lang w:val="en-US" w:eastAsia="zh-CN"/>
              </w:rPr>
              <w:t>2. Power requirements: 220V regulated power supply, one three-hole three-position switch socket;</w:t>
            </w:r>
          </w:p>
          <w:p>
            <w:pPr>
              <w:pStyle w:val="17"/>
              <w:numPr>
                <w:ilvl w:val="0"/>
                <w:numId w:val="0"/>
              </w:numPr>
              <w:jc w:val="both"/>
              <w:rPr>
                <w:rFonts w:hint="default" w:eastAsia="华文楷体"/>
                <w:lang w:val="en-US" w:eastAsia="zh-CN"/>
              </w:rPr>
            </w:pPr>
            <w:r>
              <w:rPr>
                <w:rFonts w:hint="default" w:eastAsia="华文楷体"/>
                <w:lang w:val="en-US" w:eastAsia="zh-CN"/>
              </w:rPr>
              <w:t>3. Computer requirements: standard configuration (Windows10, with a nine-pin serial port);</w:t>
            </w:r>
          </w:p>
          <w:p>
            <w:pPr>
              <w:pStyle w:val="17"/>
              <w:numPr>
                <w:ilvl w:val="0"/>
                <w:numId w:val="0"/>
              </w:numPr>
              <w:jc w:val="both"/>
              <w:rPr>
                <w:rFonts w:hint="default" w:eastAsia="华文楷体"/>
                <w:lang w:val="en-US" w:eastAsia="zh-CN"/>
              </w:rPr>
            </w:pPr>
            <w:r>
              <w:rPr>
                <w:rFonts w:hint="default" w:eastAsia="华文楷体"/>
                <w:lang w:val="en-US" w:eastAsia="zh-CN"/>
              </w:rPr>
              <w:t>4. Other accessories: a bottle of 40 liters of nitrogen gas (purity above 99.999%) is used for calibration, and other gases are customized;</w:t>
            </w:r>
          </w:p>
          <w:p>
            <w:pPr>
              <w:pStyle w:val="17"/>
              <w:numPr>
                <w:ilvl w:val="0"/>
                <w:numId w:val="0"/>
              </w:numPr>
              <w:jc w:val="both"/>
              <w:rPr>
                <w:rFonts w:hint="default" w:eastAsia="华文楷体"/>
                <w:lang w:val="en-US" w:eastAsia="zh-CN"/>
              </w:rPr>
            </w:pPr>
            <w:r>
              <w:rPr>
                <w:rFonts w:hint="default" w:eastAsia="华文楷体"/>
                <w:lang w:val="en-US" w:eastAsia="zh-CN"/>
              </w:rPr>
              <w:t>5. Drying dish (all samples need to be dehydrated and degassed for 24 hours);</w:t>
            </w:r>
          </w:p>
          <w:p>
            <w:pPr>
              <w:pStyle w:val="17"/>
              <w:numPr>
                <w:ilvl w:val="0"/>
                <w:numId w:val="0"/>
              </w:numPr>
              <w:jc w:val="both"/>
              <w:rPr>
                <w:rFonts w:hint="default" w:eastAsia="华文楷体"/>
                <w:lang w:val="en-US" w:eastAsia="zh-CN"/>
              </w:rPr>
            </w:pPr>
            <w:r>
              <w:rPr>
                <w:rFonts w:hint="default" w:eastAsia="华文楷体"/>
                <w:lang w:val="en-US" w:eastAsia="zh-CN"/>
              </w:rPr>
              <w:t>6. Distilled or purified water;</w:t>
            </w:r>
          </w:p>
          <w:p>
            <w:pPr>
              <w:pStyle w:val="17"/>
              <w:numPr>
                <w:ilvl w:val="0"/>
                <w:numId w:val="0"/>
              </w:numPr>
              <w:jc w:val="both"/>
              <w:rPr>
                <w:rFonts w:hint="default" w:eastAsia="华文楷体"/>
                <w:lang w:val="en-US" w:eastAsia="zh-CN"/>
              </w:rPr>
            </w:pPr>
            <w:r>
              <w:rPr>
                <w:rFonts w:hint="default" w:eastAsia="华文楷体"/>
                <w:lang w:val="en-US" w:eastAsia="zh-CN"/>
              </w:rPr>
              <w:t>7. Air compressor.</w:t>
            </w:r>
          </w:p>
        </w:tc>
      </w:tr>
    </w:tbl>
    <w:p>
      <w:pPr>
        <w:pStyle w:val="30"/>
        <w:ind w:firstLine="0" w:firstLineChars="0"/>
      </w:pPr>
    </w:p>
    <w:p>
      <w:pPr>
        <w:pStyle w:val="30"/>
        <w:ind w:firstLine="0" w:firstLineChars="0"/>
      </w:pPr>
    </w:p>
    <w:p>
      <w:pPr>
        <w:pStyle w:val="30"/>
        <w:ind w:firstLine="0" w:firstLineChars="0"/>
      </w:pPr>
      <w:r>
        <w:t xml:space="preserve">Note: </w:t>
      </w:r>
      <w:r>
        <w:rPr>
          <w:rFonts w:hint="eastAsia"/>
          <w:lang w:val="en-US" w:eastAsia="zh-CN"/>
        </w:rPr>
        <w:t>GBPI</w:t>
      </w:r>
      <w:r>
        <w:t xml:space="preserve"> has always been committed to the innovation and improvement of product performance and function. For this reason, product technical specifications and appearance will also be changed accordingly. The above situation will not be notified. </w:t>
      </w:r>
      <w:r>
        <w:rPr>
          <w:rFonts w:hint="eastAsia"/>
          <w:lang w:val="en-US" w:eastAsia="zh-CN"/>
        </w:rPr>
        <w:t>GBPI</w:t>
      </w:r>
      <w:r>
        <w:t xml:space="preserve"> reserves the right of modification and final interpretation.</w:t>
      </w:r>
      <w:r>
        <w:rPr>
          <w:rFonts w:hint="eastAsia"/>
        </w:rPr>
        <w:t xml:space="preserve"> </w:t>
      </w:r>
    </w:p>
    <w:p>
      <w:pPr>
        <w:pStyle w:val="30"/>
        <w:ind w:firstLine="0" w:firstLineChars="0"/>
      </w:pPr>
      <w:r>
        <w:rPr>
          <w:rFonts w:hint="eastAsia"/>
        </w:rPr>
        <w:br w:type="page"/>
      </w:r>
    </w:p>
    <w:p>
      <w:pPr>
        <w:pStyle w:val="42"/>
        <w:spacing w:before="156" w:after="156"/>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851" w:gutter="0"/>
          <w:cols w:space="425" w:num="1"/>
          <w:docGrid w:type="lines" w:linePitch="312" w:charSpace="0"/>
        </w:sectPr>
      </w:pPr>
    </w:p>
    <w:p>
      <w:pPr>
        <w:pStyle w:val="42"/>
        <w:spacing w:before="156" w:after="156"/>
        <w:ind w:firstLine="420"/>
        <w:rPr>
          <w:b/>
          <w:bCs/>
        </w:rPr>
      </w:pPr>
      <w:r>
        <w:rPr>
          <w:sz w:val="21"/>
          <w:szCs w:val="21"/>
        </w:rPr>
        <w:drawing>
          <wp:anchor distT="0" distB="0" distL="114300" distR="114300" simplePos="0" relativeHeight="251662336" behindDoc="0" locked="0" layoutInCell="1" allowOverlap="1">
            <wp:simplePos x="0" y="0"/>
            <wp:positionH relativeFrom="margin">
              <wp:posOffset>-712470</wp:posOffset>
            </wp:positionH>
            <wp:positionV relativeFrom="page">
              <wp:posOffset>683895</wp:posOffset>
            </wp:positionV>
            <wp:extent cx="7190105" cy="2466975"/>
            <wp:effectExtent l="0" t="0" r="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190105" cy="2466975"/>
                    </a:xfrm>
                    <a:prstGeom prst="rect">
                      <a:avLst/>
                    </a:prstGeom>
                  </pic:spPr>
                </pic:pic>
              </a:graphicData>
            </a:graphic>
          </wp:anchor>
        </w:drawing>
      </w:r>
      <w:r>
        <w:rPr>
          <w:b/>
          <w:bCs/>
        </w:rPr>
        <w:t>Service Commitment</w:t>
      </w:r>
    </w:p>
    <w:p>
      <w:pPr>
        <w:pStyle w:val="45"/>
        <w:numPr>
          <w:ilvl w:val="0"/>
          <w:numId w:val="5"/>
        </w:numPr>
        <w:ind w:firstLineChars="0"/>
        <w:rPr>
          <w:sz w:val="21"/>
          <w:szCs w:val="21"/>
        </w:rPr>
      </w:pPr>
      <w:r>
        <w:rPr>
          <w:sz w:val="21"/>
          <w:szCs w:val="21"/>
        </w:rPr>
        <w:t>Free packaging inspection technical support.</w:t>
      </w:r>
    </w:p>
    <w:p>
      <w:pPr>
        <w:pStyle w:val="45"/>
        <w:numPr>
          <w:ilvl w:val="0"/>
          <w:numId w:val="5"/>
        </w:numPr>
        <w:ind w:firstLineChars="0"/>
        <w:rPr>
          <w:sz w:val="21"/>
          <w:szCs w:val="21"/>
        </w:rPr>
      </w:pPr>
      <w:r>
        <w:rPr>
          <w:sz w:val="21"/>
          <w:szCs w:val="21"/>
        </w:rPr>
        <w:t>One-year warranty for instrument, free software upgrade service, and lifetime free technical support.</w:t>
      </w:r>
    </w:p>
    <w:p>
      <w:pPr>
        <w:pStyle w:val="45"/>
        <w:numPr>
          <w:ilvl w:val="0"/>
          <w:numId w:val="5"/>
        </w:numPr>
        <w:ind w:firstLineChars="0"/>
        <w:rPr>
          <w:sz w:val="21"/>
          <w:szCs w:val="21"/>
        </w:rPr>
      </w:pPr>
      <w:r>
        <w:rPr>
          <w:sz w:val="21"/>
          <w:szCs w:val="21"/>
        </w:rPr>
        <w:t>Free to the factory to train the operation of the instrument, qualified people issued graduation certificates, free accommodation and food.</w:t>
      </w:r>
    </w:p>
    <w:p>
      <w:pPr>
        <w:pStyle w:val="45"/>
        <w:numPr>
          <w:ilvl w:val="0"/>
          <w:numId w:val="5"/>
        </w:numPr>
        <w:ind w:firstLineChars="0"/>
        <w:rPr>
          <w:sz w:val="21"/>
          <w:szCs w:val="21"/>
        </w:rPr>
      </w:pPr>
      <w:r>
        <w:rPr>
          <w:sz w:val="21"/>
          <w:szCs w:val="21"/>
        </w:rPr>
        <w:t>Instrument “trade-in” policy and provision of backup instruments in case of failure.</w:t>
      </w:r>
    </w:p>
    <w:p>
      <w:pPr>
        <w:pStyle w:val="45"/>
        <w:numPr>
          <w:ilvl w:val="0"/>
          <w:numId w:val="5"/>
        </w:numPr>
        <w:ind w:firstLineChars="0"/>
        <w:rPr>
          <w:sz w:val="21"/>
          <w:szCs w:val="21"/>
        </w:rPr>
      </w:pPr>
      <w:r>
        <w:rPr>
          <w:sz w:val="21"/>
          <w:szCs w:val="21"/>
        </w:rPr>
        <w:t>There is a testing center (CNAS L8185) to provide incoming sample testing and sample data comparison services.</w:t>
      </w:r>
    </w:p>
    <w:p>
      <w:pPr>
        <w:pStyle w:val="45"/>
        <w:numPr>
          <w:ilvl w:val="0"/>
          <w:numId w:val="5"/>
        </w:numPr>
        <w:ind w:firstLineChars="0"/>
        <w:rPr>
          <w:sz w:val="21"/>
          <w:szCs w:val="21"/>
        </w:rPr>
      </w:pPr>
      <w:r>
        <w:rPr>
          <w:sz w:val="21"/>
          <w:szCs w:val="21"/>
        </w:rPr>
        <w:t>Set up a Reference Standards Development Center to provide calibration services.</w:t>
      </w:r>
    </w:p>
    <w:p>
      <w:pPr>
        <w:pStyle w:val="42"/>
        <w:spacing w:before="156" w:after="156"/>
        <w:ind w:firstLine="360"/>
        <w:rPr>
          <w:b/>
          <w:bCs/>
        </w:rPr>
      </w:pPr>
    </w:p>
    <w:p>
      <w:pPr>
        <w:pStyle w:val="42"/>
        <w:spacing w:before="156" w:after="156"/>
        <w:ind w:firstLine="360"/>
        <w:rPr>
          <w:b/>
          <w:bCs/>
        </w:rPr>
      </w:pPr>
    </w:p>
    <w:p>
      <w:pPr>
        <w:pStyle w:val="42"/>
        <w:spacing w:before="156" w:after="156"/>
        <w:ind w:firstLine="360"/>
        <w:rPr>
          <w:b/>
          <w:bCs/>
        </w:rPr>
      </w:pPr>
      <w:r>
        <w:rPr>
          <w:rFonts w:hint="eastAsia"/>
          <w:b/>
          <w:bCs/>
        </w:rPr>
        <w:t>C</w:t>
      </w:r>
      <w:r>
        <w:rPr>
          <w:b/>
          <w:bCs/>
        </w:rPr>
        <w:t>ompany Introduction</w:t>
      </w:r>
    </w:p>
    <w:p>
      <w:pPr>
        <w:pStyle w:val="42"/>
        <w:spacing w:before="156" w:after="156" w:line="360" w:lineRule="auto"/>
        <w:rPr>
          <w:rFonts w:eastAsia="华文楷体"/>
          <w:sz w:val="21"/>
          <w:szCs w:val="21"/>
        </w:rPr>
      </w:pPr>
      <w:r>
        <w:rPr>
          <w:rFonts w:eastAsia="华文楷体"/>
          <w:sz w:val="21"/>
          <w:szCs w:val="21"/>
        </w:rPr>
        <w:t>Guangzhou Biaoji Packaging Equipment Co., Ltd. was established in 2002 and located in Guangzhou Economic Development Zone. It is a company integrating R&amp;D, production and sales of packaging testing instruments, packaging equipment, modified atmosphere preservation equipment and other products, as well as providing third-party testing and standard material proficiency testing. It is committed to providing comprehensive, professional and high-quality products and technical services for packaging, food, medicine, testing and other industries.</w:t>
      </w:r>
    </w:p>
    <w:p>
      <w:pPr>
        <w:pStyle w:val="42"/>
        <w:spacing w:before="156" w:after="156" w:line="360" w:lineRule="auto"/>
        <w:ind w:firstLine="420"/>
        <w:rPr>
          <w:rFonts w:eastAsia="宋体"/>
          <w:sz w:val="21"/>
          <w:szCs w:val="21"/>
        </w:rPr>
        <w:sectPr>
          <w:type w:val="continuous"/>
          <w:pgSz w:w="11906" w:h="16838"/>
          <w:pgMar w:top="1418" w:right="1418" w:bottom="1418" w:left="1418" w:header="851" w:footer="851" w:gutter="0"/>
          <w:cols w:space="720" w:num="2"/>
          <w:docGrid w:type="lines" w:linePitch="312" w:charSpace="0"/>
        </w:sectPr>
      </w:pPr>
      <w:r>
        <w:rPr>
          <w:rFonts w:eastAsia="华文楷体"/>
          <w:sz w:val="21"/>
          <w:szCs w:val="21"/>
        </w:rPr>
        <w:t xml:space="preserve">Write industry standards with quality, and become the leader and leader in the field of global packaging testing. The 80,000-mile journey is sailing, and </w:t>
      </w:r>
      <w:r>
        <w:rPr>
          <w:rFonts w:hint="eastAsia" w:eastAsia="华文楷体"/>
          <w:sz w:val="21"/>
          <w:szCs w:val="21"/>
          <w:lang w:val="en-US" w:eastAsia="zh-CN"/>
        </w:rPr>
        <w:t xml:space="preserve">GBPI </w:t>
      </w:r>
      <w:r>
        <w:rPr>
          <w:rFonts w:eastAsia="华文楷体"/>
          <w:sz w:val="21"/>
          <w:szCs w:val="21"/>
        </w:rPr>
        <w:t>will escort you!</w:t>
      </w:r>
    </w:p>
    <w:p>
      <w:pPr>
        <w:ind w:firstLine="480"/>
      </w:pPr>
    </w:p>
    <w:p>
      <w:pPr>
        <w:ind w:firstLine="0" w:firstLineChars="0"/>
      </w:pPr>
    </w:p>
    <w:p>
      <w:pPr>
        <w:ind w:firstLine="0" w:firstLineChars="0"/>
        <w:rPr>
          <w:rFonts w:cs="Times New Roman"/>
        </w:rPr>
      </w:pPr>
      <w:r>
        <w:rPr>
          <w:rFonts w:cs="Times New Roman"/>
        </w:rPr>
        <w:t xml:space="preserve">Address: No. 1, Minghua 3rd Street, Jinxiu Road, </w:t>
      </w:r>
    </w:p>
    <w:p>
      <w:pPr>
        <w:ind w:firstLine="0" w:firstLineChars="0"/>
        <w:rPr>
          <w:rFonts w:cs="Times New Roman"/>
        </w:rPr>
      </w:pPr>
      <w:r>
        <w:rPr>
          <w:rFonts w:cs="Times New Roman"/>
        </w:rPr>
        <w:t>Guangzhou Economic and Technological Development Zone</w:t>
      </w:r>
    </w:p>
    <w:p>
      <w:pPr>
        <w:ind w:firstLine="0" w:firstLineChars="0"/>
        <w:rPr>
          <w:rFonts w:cs="Times New Roman"/>
        </w:rPr>
      </w:pPr>
      <w:r>
        <w:rPr>
          <w:rFonts w:cs="Times New Roman"/>
        </w:rPr>
        <w:t>Tel: 020-</w:t>
      </w:r>
      <w:r>
        <w:rPr>
          <w:rFonts w:hint="eastAsia" w:cs="Times New Roman"/>
        </w:rPr>
        <w:t>8615 3789</w:t>
      </w:r>
      <w:r>
        <w:rPr>
          <w:rFonts w:cs="Times New Roman"/>
        </w:rPr>
        <w:t xml:space="preserve">, </w:t>
      </w:r>
      <w:r>
        <w:rPr>
          <w:rFonts w:hint="eastAsia" w:cs="Times New Roman"/>
        </w:rPr>
        <w:t xml:space="preserve">8615 3790 </w:t>
      </w:r>
    </w:p>
    <w:p>
      <w:pPr>
        <w:ind w:firstLine="0" w:firstLineChars="0"/>
        <w:rPr>
          <w:rFonts w:cs="Times New Roman"/>
        </w:rPr>
      </w:pPr>
      <w:r>
        <w:rPr>
          <w:rFonts w:cs="Times New Roman"/>
        </w:rPr>
        <w:t>After-sales hotline: 4007886855</w:t>
      </w:r>
    </w:p>
    <w:p>
      <w:pPr>
        <w:ind w:firstLine="0" w:firstLineChars="0"/>
        <w:rPr>
          <w:rFonts w:cs="Times New Roman"/>
        </w:rPr>
      </w:pPr>
      <w:r>
        <w:rPr>
          <w:rFonts w:cs="Times New Roman"/>
        </w:rPr>
        <w:t>Website:</w:t>
      </w:r>
      <w:r>
        <w:rPr>
          <w:rFonts w:hint="eastAsia" w:cs="Times New Roman"/>
        </w:rPr>
        <w:t>https://www.gbpitester.com/</w:t>
      </w:r>
    </w:p>
    <w:p>
      <w:pPr>
        <w:ind w:firstLine="0" w:firstLineChars="0"/>
        <w:rPr>
          <w:rFonts w:cs="Times New Roman"/>
        </w:rPr>
      </w:pPr>
      <w:r>
        <w:rPr>
          <w:rFonts w:cs="Times New Roman"/>
        </w:rPr>
        <w:t xml:space="preserve">Email: </w:t>
      </w:r>
      <w:r>
        <w:rPr>
          <w:rFonts w:hint="eastAsia" w:cs="Times New Roman"/>
        </w:rPr>
        <w:t xml:space="preserve"> info@gbtest.cn</w:t>
      </w:r>
    </w:p>
    <w:p>
      <w:pPr>
        <w:pStyle w:val="42"/>
        <w:spacing w:before="156" w:after="156"/>
        <w:rPr>
          <w:rFonts w:ascii="华文楷体" w:hAnsi="华文楷体" w:eastAsia="华文楷体"/>
          <w:sz w:val="21"/>
          <w:szCs w:val="21"/>
        </w:rPr>
      </w:pPr>
      <w:r>
        <w:rPr>
          <w:rFonts w:cs="Times New Roman"/>
          <w:sz w:val="21"/>
          <w:szCs w:val="21"/>
        </w:rPr>
        <mc:AlternateContent>
          <mc:Choice Requires="wps">
            <w:drawing>
              <wp:anchor distT="0" distB="0" distL="114300" distR="114300" simplePos="0" relativeHeight="251667456" behindDoc="0" locked="0" layoutInCell="1" allowOverlap="1">
                <wp:simplePos x="0" y="0"/>
                <wp:positionH relativeFrom="column">
                  <wp:posOffset>4681220</wp:posOffset>
                </wp:positionH>
                <wp:positionV relativeFrom="margin">
                  <wp:posOffset>2971800</wp:posOffset>
                </wp:positionV>
                <wp:extent cx="1345565" cy="344170"/>
                <wp:effectExtent l="0" t="0" r="10795" b="6350"/>
                <wp:wrapSquare wrapText="bothSides"/>
                <wp:docPr id="3" name="文本框 3"/>
                <wp:cNvGraphicFramePr/>
                <a:graphic xmlns:a="http://schemas.openxmlformats.org/drawingml/2006/main">
                  <a:graphicData uri="http://schemas.microsoft.com/office/word/2010/wordprocessingShape">
                    <wps:wsp>
                      <wps:cNvSpPr txBox="1"/>
                      <wps:spPr>
                        <a:xfrm>
                          <a:off x="0" y="0"/>
                          <a:ext cx="1345565" cy="344170"/>
                        </a:xfrm>
                        <a:prstGeom prst="rect">
                          <a:avLst/>
                        </a:prstGeom>
                        <a:solidFill>
                          <a:schemeClr val="lt1"/>
                        </a:solidFill>
                        <a:ln w="6350">
                          <a:noFill/>
                        </a:ln>
                      </wps:spPr>
                      <wps:txbx>
                        <w:txbxContent>
                          <w:p>
                            <w:pPr>
                              <w:rPr>
                                <w:sz w:val="18"/>
                                <w:szCs w:val="18"/>
                              </w:rPr>
                            </w:pPr>
                            <w:r>
                              <w:rPr>
                                <w:sz w:val="18"/>
                                <w:szCs w:val="18"/>
                              </w:rPr>
                              <w:t>WeChat</w:t>
                            </w:r>
                            <w:r>
                              <w:rPr>
                                <w:rFonts w:hint="eastAsia"/>
                                <w:sz w:val="18"/>
                                <w:szCs w:val="18"/>
                                <w:lang w:val="en-US" w:eastAsia="zh-CN"/>
                              </w:rPr>
                              <w:t xml:space="preserve"> </w:t>
                            </w:r>
                            <w:r>
                              <w:rPr>
                                <w:sz w:val="18"/>
                                <w:szCs w:val="18"/>
                              </w:rPr>
                              <w:t>QR code</w:t>
                            </w:r>
                          </w:p>
                          <w:p>
                            <w:pPr>
                              <w:ind w:firstLine="630" w:firstLineChars="350"/>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6pt;margin-top:234pt;height:27.1pt;width:105.95pt;mso-position-vertical-relative:margin;mso-wrap-distance-bottom:0pt;mso-wrap-distance-left:9pt;mso-wrap-distance-right:9pt;mso-wrap-distance-top:0pt;z-index:251667456;mso-width-relative:page;mso-height-relative:page;" fillcolor="#FFFFFF [3201]" filled="t" stroked="f" coordsize="21600,21600" o:gfxdata="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enRlbWAAAACwEAAA8A&#10;AAAAAAAAAQAgAAAAIgAAAGRycy9kb3ducmV2LnhtbFBLAQIUABQAAAAIAIdO4kBADiHrUgIAAI8E&#10;AAAOAAAAAAAAAAEAIAAAACUBAABkcnMvZTJvRG9jLnhtbFBLBQYAAAAABgAGAFkBAADpBQAAAAA=&#10;">
                <v:fill on="t" focussize="0,0"/>
                <v:stroke on="f" weight="0.5pt"/>
                <v:imagedata o:title=""/>
                <o:lock v:ext="edit" aspectratio="f"/>
                <v:textbox>
                  <w:txbxContent>
                    <w:p>
                      <w:pPr>
                        <w:rPr>
                          <w:sz w:val="18"/>
                          <w:szCs w:val="18"/>
                        </w:rPr>
                      </w:pPr>
                      <w:r>
                        <w:rPr>
                          <w:sz w:val="18"/>
                          <w:szCs w:val="18"/>
                        </w:rPr>
                        <w:t>WeChat</w:t>
                      </w:r>
                      <w:r>
                        <w:rPr>
                          <w:rFonts w:hint="eastAsia"/>
                          <w:sz w:val="18"/>
                          <w:szCs w:val="18"/>
                          <w:lang w:val="en-US" w:eastAsia="zh-CN"/>
                        </w:rPr>
                        <w:t xml:space="preserve"> </w:t>
                      </w:r>
                      <w:r>
                        <w:rPr>
                          <w:sz w:val="18"/>
                          <w:szCs w:val="18"/>
                        </w:rPr>
                        <w:t>QR code</w:t>
                      </w:r>
                    </w:p>
                    <w:p>
                      <w:pPr>
                        <w:ind w:firstLine="630" w:firstLineChars="350"/>
                        <w:rPr>
                          <w:sz w:val="18"/>
                          <w:szCs w:val="18"/>
                        </w:rPr>
                      </w:pPr>
                    </w:p>
                  </w:txbxContent>
                </v:textbox>
                <w10:wrap type="square"/>
              </v:shape>
            </w:pict>
          </mc:Fallback>
        </mc:AlternateContent>
      </w:r>
      <w:r>
        <w:rPr>
          <w:rFonts w:cs="Times New Roman"/>
          <w:sz w:val="21"/>
          <w:szCs w:val="21"/>
        </w:rPr>
        <mc:AlternateContent>
          <mc:Choice Requires="wps">
            <w:drawing>
              <wp:anchor distT="0" distB="0" distL="114300" distR="114300" simplePos="0" relativeHeight="251666432" behindDoc="0" locked="0" layoutInCell="1" allowOverlap="1">
                <wp:simplePos x="0" y="0"/>
                <wp:positionH relativeFrom="column">
                  <wp:posOffset>3437890</wp:posOffset>
                </wp:positionH>
                <wp:positionV relativeFrom="margin">
                  <wp:posOffset>2974975</wp:posOffset>
                </wp:positionV>
                <wp:extent cx="1345565" cy="344170"/>
                <wp:effectExtent l="0" t="0" r="10795" b="6350"/>
                <wp:wrapSquare wrapText="bothSides"/>
                <wp:docPr id="1" name="文本框 1"/>
                <wp:cNvGraphicFramePr/>
                <a:graphic xmlns:a="http://schemas.openxmlformats.org/drawingml/2006/main">
                  <a:graphicData uri="http://schemas.microsoft.com/office/word/2010/wordprocessingShape">
                    <wps:wsp>
                      <wps:cNvSpPr txBox="1"/>
                      <wps:spPr>
                        <a:xfrm>
                          <a:off x="0" y="0"/>
                          <a:ext cx="1345565" cy="344170"/>
                        </a:xfrm>
                        <a:prstGeom prst="rect">
                          <a:avLst/>
                        </a:prstGeom>
                        <a:solidFill>
                          <a:schemeClr val="lt1"/>
                        </a:solidFill>
                        <a:ln w="6350">
                          <a:noFill/>
                        </a:ln>
                      </wps:spPr>
                      <wps:txbx>
                        <w:txbxContent>
                          <w:p>
                            <w:pPr>
                              <w:ind w:firstLine="360"/>
                              <w:rPr>
                                <w:sz w:val="18"/>
                                <w:szCs w:val="18"/>
                              </w:rPr>
                            </w:pPr>
                            <w:r>
                              <w:rPr>
                                <w:sz w:val="18"/>
                                <w:szCs w:val="18"/>
                              </w:rPr>
                              <w:t>Website QR code</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7pt;margin-top:234.25pt;height:27.1pt;width:105.95pt;mso-position-vertical-relative:margin;mso-wrap-distance-bottom:0pt;mso-wrap-distance-left:9pt;mso-wrap-distance-right:9pt;mso-wrap-distance-top:0pt;z-index:251666432;mso-width-relative:page;mso-height-relative:page;" fillcolor="#FFFFFF [3201]" filled="t" stroked="f" coordsize="21600,21600" o:gfxdata="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I2vgtcAAAALAQAADwAA&#10;AAAAAAABACAAAAAiAAAAZHJzL2Rvd25yZXYueG1sUEsBAhQAFAAAAAgAh07iQKGVO7ZQAgAAjwQA&#10;AA4AAAAAAAAAAQAgAAAAJgEAAGRycy9lMm9Eb2MueG1sUEsFBgAAAAAGAAYAWQEAAOgFAAAAAA==&#10;">
                <v:fill on="t" focussize="0,0"/>
                <v:stroke on="f" weight="0.5pt"/>
                <v:imagedata o:title=""/>
                <o:lock v:ext="edit" aspectratio="f"/>
                <v:textbox>
                  <w:txbxContent>
                    <w:p>
                      <w:pPr>
                        <w:ind w:firstLine="360"/>
                        <w:rPr>
                          <w:sz w:val="18"/>
                          <w:szCs w:val="18"/>
                        </w:rPr>
                      </w:pPr>
                      <w:r>
                        <w:rPr>
                          <w:sz w:val="18"/>
                          <w:szCs w:val="18"/>
                        </w:rPr>
                        <w:t>Website QR code</w:t>
                      </w:r>
                    </w:p>
                    <w:p/>
                  </w:txbxContent>
                </v:textbox>
                <w10:wrap type="square"/>
              </v:shape>
            </w:pict>
          </mc:Fallback>
        </mc:AlternateContent>
      </w:r>
      <w:r>
        <w:rPr>
          <w:rFonts w:cs="Times New Roman"/>
        </w:rPr>
        <w:drawing>
          <wp:anchor distT="0" distB="0" distL="114300" distR="114300" simplePos="0" relativeHeight="251665408" behindDoc="0" locked="0" layoutInCell="1" allowOverlap="1">
            <wp:simplePos x="0" y="0"/>
            <wp:positionH relativeFrom="column">
              <wp:posOffset>4862195</wp:posOffset>
            </wp:positionH>
            <wp:positionV relativeFrom="paragraph">
              <wp:posOffset>-81280</wp:posOffset>
            </wp:positionV>
            <wp:extent cx="1104265" cy="1104265"/>
            <wp:effectExtent l="0" t="0" r="8255" b="8255"/>
            <wp:wrapNone/>
            <wp:docPr id="817" name="图片 8" descr="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8" descr="图片 8"/>
                    <pic:cNvPicPr>
                      <a:picLocks noChangeAspect="1"/>
                    </pic:cNvPicPr>
                  </pic:nvPicPr>
                  <pic:blipFill>
                    <a:blip r:embed="rId21"/>
                    <a:stretch>
                      <a:fillRect/>
                    </a:stretch>
                  </pic:blipFill>
                  <pic:spPr>
                    <a:xfrm>
                      <a:off x="0" y="0"/>
                      <a:ext cx="1104265" cy="1104265"/>
                    </a:xfrm>
                    <a:prstGeom prst="rect">
                      <a:avLst/>
                    </a:prstGeom>
                    <a:ln w="12700">
                      <a:miter lim="400000"/>
                      <a:headEnd/>
                      <a:tailEnd/>
                    </a:ln>
                  </pic:spPr>
                </pic:pic>
              </a:graphicData>
            </a:graphic>
          </wp:anchor>
        </w:drawing>
      </w:r>
      <w:r>
        <w:rPr>
          <w:rFonts w:cs="Times New Roman"/>
        </w:rPr>
        <w:drawing>
          <wp:anchor distT="0" distB="0" distL="114300" distR="114300" simplePos="0" relativeHeight="251664384" behindDoc="0" locked="0" layoutInCell="1" allowOverlap="1">
            <wp:simplePos x="0" y="0"/>
            <wp:positionH relativeFrom="column">
              <wp:posOffset>3672205</wp:posOffset>
            </wp:positionH>
            <wp:positionV relativeFrom="paragraph">
              <wp:posOffset>-4445</wp:posOffset>
            </wp:positionV>
            <wp:extent cx="1008380" cy="1008380"/>
            <wp:effectExtent l="0" t="0" r="12700" b="12700"/>
            <wp:wrapNone/>
            <wp:docPr id="816" name="图片 7" descr="F:\市场\官网目录册\国际站官网二维码.png国际站官网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7" descr="F:\市场\官网目录册\国际站官网二维码.png国际站官网二维码"/>
                    <pic:cNvPicPr>
                      <a:picLocks noChangeAspect="1"/>
                    </pic:cNvPicPr>
                  </pic:nvPicPr>
                  <pic:blipFill>
                    <a:blip r:embed="rId22"/>
                    <a:srcRect/>
                    <a:stretch>
                      <a:fillRect/>
                    </a:stretch>
                  </pic:blipFill>
                  <pic:spPr>
                    <a:xfrm>
                      <a:off x="0" y="0"/>
                      <a:ext cx="1008380" cy="1008380"/>
                    </a:xfrm>
                    <a:prstGeom prst="rect">
                      <a:avLst/>
                    </a:prstGeom>
                    <a:ln w="12700">
                      <a:miter lim="400000"/>
                      <a:headEnd/>
                      <a:tailEnd/>
                    </a:ln>
                  </pic:spPr>
                </pic:pic>
              </a:graphicData>
            </a:graphic>
          </wp:anchor>
        </w:drawing>
      </w:r>
    </w:p>
    <w:sectPr>
      <w:type w:val="continuous"/>
      <w:pgSz w:w="11906" w:h="16838"/>
      <w:pgMar w:top="1418" w:right="1418" w:bottom="1418" w:left="1418" w:header="851" w:footer="851"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752AA1-5364-457D-9D2B-E493D9E4B0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embedRegular r:id="rId2" w:fontKey="{1A0AB570-CE3B-4EA6-863B-059F9C01C72D}"/>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3" w:fontKey="{B0CB03EA-B67E-44DD-8F2F-5EB57E81FD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rPr>
        <w:rStyle w:val="34"/>
        <w:i w:val="0"/>
        <w:iCs w:val="0"/>
        <w:color w:val="000000"/>
        <w14:textFill>
          <w14:solidFill>
            <w14:srgbClr w14:val="000000">
              <w14:lumMod w14:val="75000"/>
              <w14:lumOff w14:val="25000"/>
            </w14:srgbClr>
          </w14:solidFill>
        </w14:textFill>
      </w:rPr>
    </w:pPr>
  </w:p>
  <w:p>
    <w:pPr>
      <w:pStyle w:val="8"/>
      <w:ind w:firstLine="0" w:firstLineChars="0"/>
      <w:rPr>
        <w:rStyle w:val="34"/>
        <w:i w:val="0"/>
        <w:iCs w:val="0"/>
        <w:color w:val="000000"/>
        <w14:textFill>
          <w14:solidFill>
            <w14:srgbClr w14:val="000000">
              <w14:lumMod w14:val="75000"/>
              <w14:lumOff w14:val="25000"/>
            </w14:srgbClr>
          </w14:solidFill>
        </w14:textFill>
      </w:rPr>
    </w:pPr>
    <w:r>
      <w:drawing>
        <wp:anchor distT="0" distB="0" distL="114300" distR="114300" simplePos="0" relativeHeight="251659264" behindDoc="1" locked="0" layoutInCell="1" allowOverlap="1">
          <wp:simplePos x="0" y="0"/>
          <wp:positionH relativeFrom="column">
            <wp:posOffset>-952500</wp:posOffset>
          </wp:positionH>
          <wp:positionV relativeFrom="paragraph">
            <wp:posOffset>-81915</wp:posOffset>
          </wp:positionV>
          <wp:extent cx="7643495" cy="805815"/>
          <wp:effectExtent l="0" t="0" r="6985" b="1905"/>
          <wp:wrapNone/>
          <wp:docPr id="2" name="图片 2" descr="C:\Users\SandyH\Desktop\页脚英文版.png页脚英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andyH\Desktop\页脚英文版.png页脚英文版"/>
                  <pic:cNvPicPr>
                    <a:picLocks noChangeAspect="1" noChangeArrowheads="1"/>
                  </pic:cNvPicPr>
                </pic:nvPicPr>
                <pic:blipFill>
                  <a:blip r:embed="rId1"/>
                  <a:srcRect/>
                  <a:stretch>
                    <a:fillRect/>
                  </a:stretch>
                </pic:blipFill>
                <pic:spPr>
                  <a:xfrm>
                    <a:off x="0" y="0"/>
                    <a:ext cx="7643495" cy="80581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r>
      <w:drawing>
        <wp:anchor distT="0" distB="0" distL="114300" distR="114300" simplePos="0" relativeHeight="251661312" behindDoc="1" locked="0" layoutInCell="1" allowOverlap="1">
          <wp:simplePos x="0" y="0"/>
          <wp:positionH relativeFrom="page">
            <wp:align>right</wp:align>
          </wp:positionH>
          <wp:positionV relativeFrom="paragraph">
            <wp:posOffset>-192405</wp:posOffset>
          </wp:positionV>
          <wp:extent cx="6830695" cy="308610"/>
          <wp:effectExtent l="0" t="0" r="8255" b="0"/>
          <wp:wrapNone/>
          <wp:docPr id="9" name="图片 9" descr="C:\Users\dell\Documents\WXWork\1688855824242391\Cache\Image\2022-01\9a1e7f0e-2bfa-4be8-92e2-3cc12e8da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ocuments\WXWork\1688855824242391\Cache\Image\2022-01\9a1e7f0e-2bfa-4be8-92e2-3cc12e8da85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830695" cy="3086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A1B0E"/>
    <w:multiLevelType w:val="multilevel"/>
    <w:tmpl w:val="1C2A1B0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0F5036D"/>
    <w:multiLevelType w:val="multilevel"/>
    <w:tmpl w:val="20F5036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D19545C"/>
    <w:multiLevelType w:val="multilevel"/>
    <w:tmpl w:val="5D1954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0EA38B8"/>
    <w:multiLevelType w:val="multilevel"/>
    <w:tmpl w:val="60EA38B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75D0173"/>
    <w:multiLevelType w:val="multilevel"/>
    <w:tmpl w:val="775D01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00172A27"/>
    <w:rsid w:val="000062DF"/>
    <w:rsid w:val="00020222"/>
    <w:rsid w:val="00035425"/>
    <w:rsid w:val="00054942"/>
    <w:rsid w:val="00067FA9"/>
    <w:rsid w:val="00071DA0"/>
    <w:rsid w:val="00090E33"/>
    <w:rsid w:val="000A6671"/>
    <w:rsid w:val="000C525A"/>
    <w:rsid w:val="000D0CBB"/>
    <w:rsid w:val="000F3C65"/>
    <w:rsid w:val="000F4A9C"/>
    <w:rsid w:val="00103BA3"/>
    <w:rsid w:val="00121EE9"/>
    <w:rsid w:val="001354DE"/>
    <w:rsid w:val="00146CD4"/>
    <w:rsid w:val="00172A27"/>
    <w:rsid w:val="00184F79"/>
    <w:rsid w:val="00185A2E"/>
    <w:rsid w:val="001977FF"/>
    <w:rsid w:val="001B56A4"/>
    <w:rsid w:val="001C61D8"/>
    <w:rsid w:val="001E3569"/>
    <w:rsid w:val="001E5DC6"/>
    <w:rsid w:val="001F56B0"/>
    <w:rsid w:val="00206FE8"/>
    <w:rsid w:val="002169A8"/>
    <w:rsid w:val="00217BEE"/>
    <w:rsid w:val="002229D5"/>
    <w:rsid w:val="0023038F"/>
    <w:rsid w:val="00231351"/>
    <w:rsid w:val="0024084D"/>
    <w:rsid w:val="002501E4"/>
    <w:rsid w:val="00253890"/>
    <w:rsid w:val="00265F91"/>
    <w:rsid w:val="0027163F"/>
    <w:rsid w:val="0027180F"/>
    <w:rsid w:val="00281511"/>
    <w:rsid w:val="002827E4"/>
    <w:rsid w:val="0029332E"/>
    <w:rsid w:val="0029347C"/>
    <w:rsid w:val="00294216"/>
    <w:rsid w:val="002C4842"/>
    <w:rsid w:val="002D5CFB"/>
    <w:rsid w:val="002D6B02"/>
    <w:rsid w:val="002E2D11"/>
    <w:rsid w:val="003214E2"/>
    <w:rsid w:val="003444FA"/>
    <w:rsid w:val="00367AE3"/>
    <w:rsid w:val="00376439"/>
    <w:rsid w:val="00395FCA"/>
    <w:rsid w:val="003A41DA"/>
    <w:rsid w:val="003B1F00"/>
    <w:rsid w:val="003C675F"/>
    <w:rsid w:val="003C701B"/>
    <w:rsid w:val="003C7E70"/>
    <w:rsid w:val="003D052C"/>
    <w:rsid w:val="003D0EEA"/>
    <w:rsid w:val="003D2A47"/>
    <w:rsid w:val="003E219E"/>
    <w:rsid w:val="003E30BD"/>
    <w:rsid w:val="00412892"/>
    <w:rsid w:val="00450277"/>
    <w:rsid w:val="00455875"/>
    <w:rsid w:val="00472784"/>
    <w:rsid w:val="004860BE"/>
    <w:rsid w:val="00496FA4"/>
    <w:rsid w:val="004A718B"/>
    <w:rsid w:val="004C405F"/>
    <w:rsid w:val="00504604"/>
    <w:rsid w:val="00505D82"/>
    <w:rsid w:val="00553F3E"/>
    <w:rsid w:val="0055698C"/>
    <w:rsid w:val="00557A06"/>
    <w:rsid w:val="0058417A"/>
    <w:rsid w:val="005A3D44"/>
    <w:rsid w:val="005A50B4"/>
    <w:rsid w:val="005A7A74"/>
    <w:rsid w:val="005E22A7"/>
    <w:rsid w:val="00637346"/>
    <w:rsid w:val="00650A5E"/>
    <w:rsid w:val="006519F1"/>
    <w:rsid w:val="006563CE"/>
    <w:rsid w:val="00667F90"/>
    <w:rsid w:val="00674784"/>
    <w:rsid w:val="00680D0D"/>
    <w:rsid w:val="00696484"/>
    <w:rsid w:val="006A25BE"/>
    <w:rsid w:val="006B0D0A"/>
    <w:rsid w:val="006E02EE"/>
    <w:rsid w:val="006E0B67"/>
    <w:rsid w:val="00703BED"/>
    <w:rsid w:val="00762CE9"/>
    <w:rsid w:val="00763AE6"/>
    <w:rsid w:val="00780F82"/>
    <w:rsid w:val="00790C30"/>
    <w:rsid w:val="00796120"/>
    <w:rsid w:val="007A16AD"/>
    <w:rsid w:val="007B5F35"/>
    <w:rsid w:val="007D3DA9"/>
    <w:rsid w:val="0080086B"/>
    <w:rsid w:val="0080240B"/>
    <w:rsid w:val="00811DA0"/>
    <w:rsid w:val="00827BBE"/>
    <w:rsid w:val="00851FCB"/>
    <w:rsid w:val="00856079"/>
    <w:rsid w:val="00865400"/>
    <w:rsid w:val="0087271E"/>
    <w:rsid w:val="00874009"/>
    <w:rsid w:val="00883222"/>
    <w:rsid w:val="008B2011"/>
    <w:rsid w:val="008B2064"/>
    <w:rsid w:val="008B2D57"/>
    <w:rsid w:val="008C0A33"/>
    <w:rsid w:val="008D22FA"/>
    <w:rsid w:val="008E0FBD"/>
    <w:rsid w:val="008F1285"/>
    <w:rsid w:val="00905EC5"/>
    <w:rsid w:val="00921E41"/>
    <w:rsid w:val="009355AE"/>
    <w:rsid w:val="00947AD1"/>
    <w:rsid w:val="0096552E"/>
    <w:rsid w:val="00967958"/>
    <w:rsid w:val="00970262"/>
    <w:rsid w:val="00970B6A"/>
    <w:rsid w:val="00976E0B"/>
    <w:rsid w:val="0098204B"/>
    <w:rsid w:val="009A13B3"/>
    <w:rsid w:val="009A1709"/>
    <w:rsid w:val="009A4304"/>
    <w:rsid w:val="009A4B1B"/>
    <w:rsid w:val="009C2D7E"/>
    <w:rsid w:val="009E4274"/>
    <w:rsid w:val="00A32EAA"/>
    <w:rsid w:val="00A37693"/>
    <w:rsid w:val="00A54DA0"/>
    <w:rsid w:val="00A56FBB"/>
    <w:rsid w:val="00A6411A"/>
    <w:rsid w:val="00A75EBD"/>
    <w:rsid w:val="00A80C69"/>
    <w:rsid w:val="00AB3525"/>
    <w:rsid w:val="00AB4AF4"/>
    <w:rsid w:val="00AB4E91"/>
    <w:rsid w:val="00AD134E"/>
    <w:rsid w:val="00AD3BF9"/>
    <w:rsid w:val="00B13107"/>
    <w:rsid w:val="00B150FC"/>
    <w:rsid w:val="00B22AC2"/>
    <w:rsid w:val="00B41F73"/>
    <w:rsid w:val="00B67E4F"/>
    <w:rsid w:val="00B72381"/>
    <w:rsid w:val="00B763C3"/>
    <w:rsid w:val="00B8083F"/>
    <w:rsid w:val="00B87DE9"/>
    <w:rsid w:val="00B9513B"/>
    <w:rsid w:val="00BA722E"/>
    <w:rsid w:val="00BC65CD"/>
    <w:rsid w:val="00BD4499"/>
    <w:rsid w:val="00BD58D6"/>
    <w:rsid w:val="00BE4BFC"/>
    <w:rsid w:val="00C034D7"/>
    <w:rsid w:val="00C063C1"/>
    <w:rsid w:val="00C068AE"/>
    <w:rsid w:val="00C530BC"/>
    <w:rsid w:val="00C56507"/>
    <w:rsid w:val="00C6287D"/>
    <w:rsid w:val="00C6331C"/>
    <w:rsid w:val="00C66B07"/>
    <w:rsid w:val="00C67B59"/>
    <w:rsid w:val="00C67F02"/>
    <w:rsid w:val="00C72223"/>
    <w:rsid w:val="00CC3A8E"/>
    <w:rsid w:val="00CD6100"/>
    <w:rsid w:val="00CD78E4"/>
    <w:rsid w:val="00CF2977"/>
    <w:rsid w:val="00D44273"/>
    <w:rsid w:val="00D60F4F"/>
    <w:rsid w:val="00D64A8B"/>
    <w:rsid w:val="00D90C43"/>
    <w:rsid w:val="00D91955"/>
    <w:rsid w:val="00DA54D7"/>
    <w:rsid w:val="00DB0289"/>
    <w:rsid w:val="00DB11F0"/>
    <w:rsid w:val="00DB6122"/>
    <w:rsid w:val="00DB750F"/>
    <w:rsid w:val="00DC2CC3"/>
    <w:rsid w:val="00DC4CD8"/>
    <w:rsid w:val="00E10AF6"/>
    <w:rsid w:val="00E16FE2"/>
    <w:rsid w:val="00E304F9"/>
    <w:rsid w:val="00E340EF"/>
    <w:rsid w:val="00E52815"/>
    <w:rsid w:val="00E5510D"/>
    <w:rsid w:val="00E61E6B"/>
    <w:rsid w:val="00E76A39"/>
    <w:rsid w:val="00E96A94"/>
    <w:rsid w:val="00EB688D"/>
    <w:rsid w:val="00EC62B9"/>
    <w:rsid w:val="00EC6F77"/>
    <w:rsid w:val="00ED2F61"/>
    <w:rsid w:val="00EF0596"/>
    <w:rsid w:val="00F00AEB"/>
    <w:rsid w:val="00F324D5"/>
    <w:rsid w:val="00F36E34"/>
    <w:rsid w:val="00F5749E"/>
    <w:rsid w:val="00F829AC"/>
    <w:rsid w:val="00F935BA"/>
    <w:rsid w:val="00FA3EB1"/>
    <w:rsid w:val="00FA40FB"/>
    <w:rsid w:val="00FB016B"/>
    <w:rsid w:val="00FB50AF"/>
    <w:rsid w:val="00FB5C99"/>
    <w:rsid w:val="00FB77CC"/>
    <w:rsid w:val="00FC7F2B"/>
    <w:rsid w:val="00FE4556"/>
    <w:rsid w:val="00FF579D"/>
    <w:rsid w:val="015123B9"/>
    <w:rsid w:val="01B841E6"/>
    <w:rsid w:val="01CA216C"/>
    <w:rsid w:val="01F3521E"/>
    <w:rsid w:val="02BA576D"/>
    <w:rsid w:val="02BC7D06"/>
    <w:rsid w:val="02D637FB"/>
    <w:rsid w:val="02F079B0"/>
    <w:rsid w:val="035E700F"/>
    <w:rsid w:val="03C74BB5"/>
    <w:rsid w:val="03D8291E"/>
    <w:rsid w:val="04471852"/>
    <w:rsid w:val="04812FB5"/>
    <w:rsid w:val="04B769D7"/>
    <w:rsid w:val="04B844FD"/>
    <w:rsid w:val="04F419D9"/>
    <w:rsid w:val="05EB1545"/>
    <w:rsid w:val="069D39AB"/>
    <w:rsid w:val="06B62CBE"/>
    <w:rsid w:val="06D97365"/>
    <w:rsid w:val="07117EF5"/>
    <w:rsid w:val="07D94EB6"/>
    <w:rsid w:val="08DA0EE6"/>
    <w:rsid w:val="0A60541B"/>
    <w:rsid w:val="0A6F38B0"/>
    <w:rsid w:val="0A92134D"/>
    <w:rsid w:val="0A9D041D"/>
    <w:rsid w:val="0AE778EA"/>
    <w:rsid w:val="0B7F5D75"/>
    <w:rsid w:val="0B845139"/>
    <w:rsid w:val="0BE300B2"/>
    <w:rsid w:val="0CA44663"/>
    <w:rsid w:val="0CB16402"/>
    <w:rsid w:val="0D4D1836"/>
    <w:rsid w:val="0D63594E"/>
    <w:rsid w:val="0DBC505E"/>
    <w:rsid w:val="0E682AF0"/>
    <w:rsid w:val="0F346E76"/>
    <w:rsid w:val="0F44530B"/>
    <w:rsid w:val="0F87344A"/>
    <w:rsid w:val="0F8E6586"/>
    <w:rsid w:val="0FA45DAA"/>
    <w:rsid w:val="0FF26B15"/>
    <w:rsid w:val="0FFC3E38"/>
    <w:rsid w:val="10390BE8"/>
    <w:rsid w:val="1092654A"/>
    <w:rsid w:val="10B62239"/>
    <w:rsid w:val="10FB7C4C"/>
    <w:rsid w:val="11194576"/>
    <w:rsid w:val="11203B56"/>
    <w:rsid w:val="11252F1A"/>
    <w:rsid w:val="112C6057"/>
    <w:rsid w:val="116E041E"/>
    <w:rsid w:val="11B17C1D"/>
    <w:rsid w:val="122907E8"/>
    <w:rsid w:val="12437AFC"/>
    <w:rsid w:val="12767ED2"/>
    <w:rsid w:val="12B5207C"/>
    <w:rsid w:val="132015AA"/>
    <w:rsid w:val="136E6DFB"/>
    <w:rsid w:val="13B642FE"/>
    <w:rsid w:val="13E470BD"/>
    <w:rsid w:val="14215C1B"/>
    <w:rsid w:val="14302302"/>
    <w:rsid w:val="144E4536"/>
    <w:rsid w:val="146D2C0E"/>
    <w:rsid w:val="154A73F4"/>
    <w:rsid w:val="157C1521"/>
    <w:rsid w:val="157D1577"/>
    <w:rsid w:val="15DF5D8E"/>
    <w:rsid w:val="15EB1F13"/>
    <w:rsid w:val="161377E5"/>
    <w:rsid w:val="16A63E2C"/>
    <w:rsid w:val="16E82A20"/>
    <w:rsid w:val="172A4DE7"/>
    <w:rsid w:val="17885FB1"/>
    <w:rsid w:val="17CD3B9F"/>
    <w:rsid w:val="18BE612E"/>
    <w:rsid w:val="18E04F47"/>
    <w:rsid w:val="18E35B95"/>
    <w:rsid w:val="18F71640"/>
    <w:rsid w:val="191D73C8"/>
    <w:rsid w:val="1990114D"/>
    <w:rsid w:val="19C77265"/>
    <w:rsid w:val="1ADD6614"/>
    <w:rsid w:val="1AE6196C"/>
    <w:rsid w:val="1B300E3A"/>
    <w:rsid w:val="1BEE6D2B"/>
    <w:rsid w:val="1BF754B3"/>
    <w:rsid w:val="1CA76EDA"/>
    <w:rsid w:val="1CB57848"/>
    <w:rsid w:val="1CD06430"/>
    <w:rsid w:val="1D3A1AFC"/>
    <w:rsid w:val="1D3A5FA0"/>
    <w:rsid w:val="1D4330A6"/>
    <w:rsid w:val="1D5C1A72"/>
    <w:rsid w:val="1D872B19"/>
    <w:rsid w:val="1E733517"/>
    <w:rsid w:val="1EEE0DF0"/>
    <w:rsid w:val="1F095C2A"/>
    <w:rsid w:val="1F415D71"/>
    <w:rsid w:val="20332F93"/>
    <w:rsid w:val="20A0436C"/>
    <w:rsid w:val="20BE2A44"/>
    <w:rsid w:val="20BF0C96"/>
    <w:rsid w:val="21274A8D"/>
    <w:rsid w:val="21333432"/>
    <w:rsid w:val="215A6C10"/>
    <w:rsid w:val="21B300CF"/>
    <w:rsid w:val="21CD1190"/>
    <w:rsid w:val="2236364C"/>
    <w:rsid w:val="22635651"/>
    <w:rsid w:val="22C759AB"/>
    <w:rsid w:val="22D66C52"/>
    <w:rsid w:val="237D2742"/>
    <w:rsid w:val="2412732E"/>
    <w:rsid w:val="24286B52"/>
    <w:rsid w:val="24927D1C"/>
    <w:rsid w:val="24C20D54"/>
    <w:rsid w:val="24CC1BD3"/>
    <w:rsid w:val="25717EB9"/>
    <w:rsid w:val="26355556"/>
    <w:rsid w:val="264D464E"/>
    <w:rsid w:val="27627116"/>
    <w:rsid w:val="277125BE"/>
    <w:rsid w:val="277B168E"/>
    <w:rsid w:val="277C1F03"/>
    <w:rsid w:val="27A209C9"/>
    <w:rsid w:val="285F68BA"/>
    <w:rsid w:val="28B74948"/>
    <w:rsid w:val="28BA1D43"/>
    <w:rsid w:val="28CF110A"/>
    <w:rsid w:val="28E45018"/>
    <w:rsid w:val="2A187669"/>
    <w:rsid w:val="2A1A0CEB"/>
    <w:rsid w:val="2A744DF5"/>
    <w:rsid w:val="2A8820F8"/>
    <w:rsid w:val="2AE20C86"/>
    <w:rsid w:val="2AF43C32"/>
    <w:rsid w:val="2B6A75F2"/>
    <w:rsid w:val="2BAA0794"/>
    <w:rsid w:val="2BD278C4"/>
    <w:rsid w:val="2C4B7881"/>
    <w:rsid w:val="2C520C10"/>
    <w:rsid w:val="2D7746A6"/>
    <w:rsid w:val="2DAD1E76"/>
    <w:rsid w:val="2E625356"/>
    <w:rsid w:val="2E76670C"/>
    <w:rsid w:val="2EAB0AAB"/>
    <w:rsid w:val="2F2F348A"/>
    <w:rsid w:val="2F600347"/>
    <w:rsid w:val="2FEF6776"/>
    <w:rsid w:val="305667F5"/>
    <w:rsid w:val="307373A7"/>
    <w:rsid w:val="30D616E4"/>
    <w:rsid w:val="310E5321"/>
    <w:rsid w:val="31102E48"/>
    <w:rsid w:val="31124E12"/>
    <w:rsid w:val="317258B0"/>
    <w:rsid w:val="318F6462"/>
    <w:rsid w:val="31AD68E8"/>
    <w:rsid w:val="31CA56EC"/>
    <w:rsid w:val="31FE5396"/>
    <w:rsid w:val="32314085"/>
    <w:rsid w:val="32D87995"/>
    <w:rsid w:val="32EB3B6C"/>
    <w:rsid w:val="32F10A57"/>
    <w:rsid w:val="32FC7B27"/>
    <w:rsid w:val="336B25B7"/>
    <w:rsid w:val="33FE167D"/>
    <w:rsid w:val="34012F1B"/>
    <w:rsid w:val="34283F6F"/>
    <w:rsid w:val="34E326FC"/>
    <w:rsid w:val="35643762"/>
    <w:rsid w:val="3578720D"/>
    <w:rsid w:val="35A46254"/>
    <w:rsid w:val="35C6441D"/>
    <w:rsid w:val="35CE6E2D"/>
    <w:rsid w:val="35FA1B73"/>
    <w:rsid w:val="36213401"/>
    <w:rsid w:val="36767BF1"/>
    <w:rsid w:val="36CC7811"/>
    <w:rsid w:val="37092F96"/>
    <w:rsid w:val="3709636F"/>
    <w:rsid w:val="377432D3"/>
    <w:rsid w:val="3790083E"/>
    <w:rsid w:val="37AF33BA"/>
    <w:rsid w:val="37F232A7"/>
    <w:rsid w:val="38A30A45"/>
    <w:rsid w:val="38AA1DD4"/>
    <w:rsid w:val="38AA5930"/>
    <w:rsid w:val="39273424"/>
    <w:rsid w:val="395A7356"/>
    <w:rsid w:val="396273C0"/>
    <w:rsid w:val="39EC3562"/>
    <w:rsid w:val="39FA28E7"/>
    <w:rsid w:val="3A2F07E2"/>
    <w:rsid w:val="3A80103E"/>
    <w:rsid w:val="3ABA0EF7"/>
    <w:rsid w:val="3ADE3FB6"/>
    <w:rsid w:val="3AE710BD"/>
    <w:rsid w:val="3B043A1D"/>
    <w:rsid w:val="3C371BD0"/>
    <w:rsid w:val="3C526A0A"/>
    <w:rsid w:val="3C553E04"/>
    <w:rsid w:val="3C94492D"/>
    <w:rsid w:val="3CA134EE"/>
    <w:rsid w:val="3D164204"/>
    <w:rsid w:val="3D7A7FC6"/>
    <w:rsid w:val="3E23240C"/>
    <w:rsid w:val="3E6B5B61"/>
    <w:rsid w:val="3F3C12AC"/>
    <w:rsid w:val="3F566811"/>
    <w:rsid w:val="3F5B3E28"/>
    <w:rsid w:val="401F4E55"/>
    <w:rsid w:val="40D0614F"/>
    <w:rsid w:val="41281AE7"/>
    <w:rsid w:val="41390199"/>
    <w:rsid w:val="415E19AD"/>
    <w:rsid w:val="41766CF7"/>
    <w:rsid w:val="41B96BE3"/>
    <w:rsid w:val="41FF0A9A"/>
    <w:rsid w:val="42063D19"/>
    <w:rsid w:val="423C1CEE"/>
    <w:rsid w:val="42562684"/>
    <w:rsid w:val="42770F78"/>
    <w:rsid w:val="42AC04F6"/>
    <w:rsid w:val="43072112"/>
    <w:rsid w:val="43C24475"/>
    <w:rsid w:val="43CD6976"/>
    <w:rsid w:val="449C5E6A"/>
    <w:rsid w:val="44E623E5"/>
    <w:rsid w:val="46503FBA"/>
    <w:rsid w:val="465B295F"/>
    <w:rsid w:val="46712183"/>
    <w:rsid w:val="46911EDD"/>
    <w:rsid w:val="46E666CD"/>
    <w:rsid w:val="471C20EE"/>
    <w:rsid w:val="475364D6"/>
    <w:rsid w:val="47613FA5"/>
    <w:rsid w:val="4766336A"/>
    <w:rsid w:val="47A345BE"/>
    <w:rsid w:val="481C1C7A"/>
    <w:rsid w:val="488F069E"/>
    <w:rsid w:val="492434DC"/>
    <w:rsid w:val="49836455"/>
    <w:rsid w:val="49B02FC2"/>
    <w:rsid w:val="4A2D4613"/>
    <w:rsid w:val="4A404346"/>
    <w:rsid w:val="4A5B2F2E"/>
    <w:rsid w:val="4A6F4C2B"/>
    <w:rsid w:val="4A804742"/>
    <w:rsid w:val="4A930919"/>
    <w:rsid w:val="4ABD5996"/>
    <w:rsid w:val="4AC46D25"/>
    <w:rsid w:val="4B0610EB"/>
    <w:rsid w:val="4B3D6AD7"/>
    <w:rsid w:val="4B910E28"/>
    <w:rsid w:val="4BB723E6"/>
    <w:rsid w:val="4C0D20F5"/>
    <w:rsid w:val="4C5D3817"/>
    <w:rsid w:val="4C627219"/>
    <w:rsid w:val="4C83676C"/>
    <w:rsid w:val="4CD55219"/>
    <w:rsid w:val="4D07114B"/>
    <w:rsid w:val="4D1F46E6"/>
    <w:rsid w:val="4D422183"/>
    <w:rsid w:val="4D991E0D"/>
    <w:rsid w:val="4DB50BA7"/>
    <w:rsid w:val="4DF06083"/>
    <w:rsid w:val="4EA330F5"/>
    <w:rsid w:val="4EBE3A8B"/>
    <w:rsid w:val="4ED90B67"/>
    <w:rsid w:val="4F964BCF"/>
    <w:rsid w:val="4FCF7423"/>
    <w:rsid w:val="4FDD6193"/>
    <w:rsid w:val="50151DD1"/>
    <w:rsid w:val="50210776"/>
    <w:rsid w:val="51145BE4"/>
    <w:rsid w:val="51325569"/>
    <w:rsid w:val="51654692"/>
    <w:rsid w:val="52410C5B"/>
    <w:rsid w:val="528E3AD7"/>
    <w:rsid w:val="530253C3"/>
    <w:rsid w:val="53486019"/>
    <w:rsid w:val="54134879"/>
    <w:rsid w:val="544613ED"/>
    <w:rsid w:val="544E58B1"/>
    <w:rsid w:val="548B08B3"/>
    <w:rsid w:val="54B90F7D"/>
    <w:rsid w:val="54D25E54"/>
    <w:rsid w:val="54E57FC4"/>
    <w:rsid w:val="54EF4659"/>
    <w:rsid w:val="55216B22"/>
    <w:rsid w:val="552A1E7A"/>
    <w:rsid w:val="55EC5382"/>
    <w:rsid w:val="55F3226C"/>
    <w:rsid w:val="56150435"/>
    <w:rsid w:val="56ED13B1"/>
    <w:rsid w:val="575B456D"/>
    <w:rsid w:val="57B40121"/>
    <w:rsid w:val="57BB71CF"/>
    <w:rsid w:val="57D12A81"/>
    <w:rsid w:val="57DA7B88"/>
    <w:rsid w:val="584364B9"/>
    <w:rsid w:val="58615BB3"/>
    <w:rsid w:val="58CA7BFC"/>
    <w:rsid w:val="58FA1B64"/>
    <w:rsid w:val="5991071A"/>
    <w:rsid w:val="5A026F22"/>
    <w:rsid w:val="5A696FA1"/>
    <w:rsid w:val="5A81078E"/>
    <w:rsid w:val="5A9103BC"/>
    <w:rsid w:val="5ABD72ED"/>
    <w:rsid w:val="5ADF3707"/>
    <w:rsid w:val="5B5B0FE0"/>
    <w:rsid w:val="5B835E40"/>
    <w:rsid w:val="5BD963A8"/>
    <w:rsid w:val="5C050F4B"/>
    <w:rsid w:val="5C2018E1"/>
    <w:rsid w:val="5C401F83"/>
    <w:rsid w:val="5CB2009E"/>
    <w:rsid w:val="5CEB6393"/>
    <w:rsid w:val="5DD46E27"/>
    <w:rsid w:val="5DF254FF"/>
    <w:rsid w:val="5E113BD7"/>
    <w:rsid w:val="5E9B7945"/>
    <w:rsid w:val="5E9F11E3"/>
    <w:rsid w:val="5F100333"/>
    <w:rsid w:val="60363DC9"/>
    <w:rsid w:val="60874625"/>
    <w:rsid w:val="60912DAE"/>
    <w:rsid w:val="60DB227B"/>
    <w:rsid w:val="6142679E"/>
    <w:rsid w:val="615F2EAC"/>
    <w:rsid w:val="616404C2"/>
    <w:rsid w:val="61F47A98"/>
    <w:rsid w:val="625E7607"/>
    <w:rsid w:val="63452AE3"/>
    <w:rsid w:val="63860BC4"/>
    <w:rsid w:val="63D80CF3"/>
    <w:rsid w:val="64502F80"/>
    <w:rsid w:val="648570CD"/>
    <w:rsid w:val="64AC465A"/>
    <w:rsid w:val="65202952"/>
    <w:rsid w:val="6554084E"/>
    <w:rsid w:val="656F7435"/>
    <w:rsid w:val="659375C8"/>
    <w:rsid w:val="65C6174B"/>
    <w:rsid w:val="65F55B8D"/>
    <w:rsid w:val="66790681"/>
    <w:rsid w:val="668A4527"/>
    <w:rsid w:val="66B633C5"/>
    <w:rsid w:val="66CA0DC7"/>
    <w:rsid w:val="66D24120"/>
    <w:rsid w:val="66F44096"/>
    <w:rsid w:val="673F6111"/>
    <w:rsid w:val="674C7A2E"/>
    <w:rsid w:val="67C577E1"/>
    <w:rsid w:val="67D0065F"/>
    <w:rsid w:val="67DB7004"/>
    <w:rsid w:val="67E20393"/>
    <w:rsid w:val="67E934CF"/>
    <w:rsid w:val="68637725"/>
    <w:rsid w:val="69FA19C4"/>
    <w:rsid w:val="6A3F7D1E"/>
    <w:rsid w:val="6AC10733"/>
    <w:rsid w:val="6B824366"/>
    <w:rsid w:val="6B8F438D"/>
    <w:rsid w:val="6C6121CE"/>
    <w:rsid w:val="6CB06CB1"/>
    <w:rsid w:val="6D9263B7"/>
    <w:rsid w:val="6DDB5FB0"/>
    <w:rsid w:val="6E301E58"/>
    <w:rsid w:val="6E4B4EE4"/>
    <w:rsid w:val="6EC151A6"/>
    <w:rsid w:val="6ED0363B"/>
    <w:rsid w:val="6F525DFE"/>
    <w:rsid w:val="6F655B31"/>
    <w:rsid w:val="6F6A1399"/>
    <w:rsid w:val="6F771D08"/>
    <w:rsid w:val="6F7A7103"/>
    <w:rsid w:val="6F8A1A3C"/>
    <w:rsid w:val="6FD50512"/>
    <w:rsid w:val="6FDE3B35"/>
    <w:rsid w:val="711A294B"/>
    <w:rsid w:val="71CD20B4"/>
    <w:rsid w:val="71E35433"/>
    <w:rsid w:val="71F15DA2"/>
    <w:rsid w:val="72035AD5"/>
    <w:rsid w:val="72855A06"/>
    <w:rsid w:val="72D6371F"/>
    <w:rsid w:val="72F83160"/>
    <w:rsid w:val="72FB055A"/>
    <w:rsid w:val="73264433"/>
    <w:rsid w:val="7338355D"/>
    <w:rsid w:val="733F2B3D"/>
    <w:rsid w:val="73552361"/>
    <w:rsid w:val="735A34D3"/>
    <w:rsid w:val="73FE7350"/>
    <w:rsid w:val="74323442"/>
    <w:rsid w:val="743E1047"/>
    <w:rsid w:val="74C07CAE"/>
    <w:rsid w:val="74F87447"/>
    <w:rsid w:val="751969CB"/>
    <w:rsid w:val="752B3379"/>
    <w:rsid w:val="75371D1E"/>
    <w:rsid w:val="755625F5"/>
    <w:rsid w:val="75B3511C"/>
    <w:rsid w:val="769E7B7B"/>
    <w:rsid w:val="76E00193"/>
    <w:rsid w:val="76EE28B0"/>
    <w:rsid w:val="772010E5"/>
    <w:rsid w:val="773504DF"/>
    <w:rsid w:val="773D55E5"/>
    <w:rsid w:val="774424D0"/>
    <w:rsid w:val="775E5C88"/>
    <w:rsid w:val="77642B72"/>
    <w:rsid w:val="77FE2FC7"/>
    <w:rsid w:val="789E20B4"/>
    <w:rsid w:val="792E51E6"/>
    <w:rsid w:val="79366790"/>
    <w:rsid w:val="793D367B"/>
    <w:rsid w:val="79DE476C"/>
    <w:rsid w:val="79F77CCE"/>
    <w:rsid w:val="7A1E525A"/>
    <w:rsid w:val="7A456C8B"/>
    <w:rsid w:val="7B09415C"/>
    <w:rsid w:val="7B1A0118"/>
    <w:rsid w:val="7B7B048A"/>
    <w:rsid w:val="7BC938EC"/>
    <w:rsid w:val="7BD76009"/>
    <w:rsid w:val="7BDF10A3"/>
    <w:rsid w:val="7BE67FFA"/>
    <w:rsid w:val="7BFB0B2F"/>
    <w:rsid w:val="7C23124E"/>
    <w:rsid w:val="7CF624BE"/>
    <w:rsid w:val="7D060228"/>
    <w:rsid w:val="7D6F7B60"/>
    <w:rsid w:val="7DFE5412"/>
    <w:rsid w:val="7E1352F2"/>
    <w:rsid w:val="7E1C7D03"/>
    <w:rsid w:val="7E4B05E8"/>
    <w:rsid w:val="7E6478FC"/>
    <w:rsid w:val="7E6873EC"/>
    <w:rsid w:val="7E9A331D"/>
    <w:rsid w:val="7ED405DD"/>
    <w:rsid w:val="7EE60311"/>
    <w:rsid w:val="7EEA1BAF"/>
    <w:rsid w:val="7EF46ED2"/>
    <w:rsid w:val="7F6A5898"/>
    <w:rsid w:val="7F7B08B2"/>
    <w:rsid w:val="7FA2692E"/>
    <w:rsid w:val="7FAE7080"/>
    <w:rsid w:val="7FE17456"/>
    <w:rsid w:val="C5FFD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华文楷体" w:cstheme="minorBidi"/>
      <w:kern w:val="2"/>
      <w:sz w:val="24"/>
      <w:szCs w:val="22"/>
      <w:lang w:val="en-US" w:eastAsia="zh-CN" w:bidi="ar-SA"/>
    </w:rPr>
  </w:style>
  <w:style w:type="paragraph" w:styleId="2">
    <w:name w:val="heading 1"/>
    <w:basedOn w:val="1"/>
    <w:next w:val="1"/>
    <w:link w:val="18"/>
    <w:qFormat/>
    <w:uiPriority w:val="9"/>
    <w:pPr>
      <w:keepNext/>
      <w:keepLines/>
      <w:spacing w:before="50" w:beforeLines="50" w:after="50" w:afterLines="50" w:line="240" w:lineRule="auto"/>
      <w:ind w:firstLine="0" w:firstLineChars="0"/>
      <w:jc w:val="left"/>
      <w:outlineLvl w:val="0"/>
    </w:pPr>
    <w:rPr>
      <w:rFonts w:eastAsia="黑体"/>
      <w:bCs/>
      <w:kern w:val="44"/>
      <w:sz w:val="30"/>
      <w:szCs w:val="44"/>
    </w:rPr>
  </w:style>
  <w:style w:type="paragraph" w:styleId="3">
    <w:name w:val="heading 2"/>
    <w:basedOn w:val="1"/>
    <w:next w:val="1"/>
    <w:link w:val="20"/>
    <w:unhideWhenUsed/>
    <w:qFormat/>
    <w:uiPriority w:val="9"/>
    <w:pPr>
      <w:keepNext/>
      <w:keepLines/>
      <w:spacing w:before="50" w:beforeLines="50" w:after="50" w:afterLines="50" w:line="240" w:lineRule="auto"/>
      <w:ind w:firstLine="0" w:firstLineChars="0"/>
      <w:jc w:val="left"/>
      <w:outlineLvl w:val="1"/>
    </w:pPr>
    <w:rPr>
      <w:rFonts w:eastAsia="黑体" w:cstheme="majorBidi"/>
      <w:bCs/>
      <w:sz w:val="28"/>
      <w:szCs w:val="32"/>
    </w:rPr>
  </w:style>
  <w:style w:type="paragraph" w:styleId="4">
    <w:name w:val="heading 3"/>
    <w:basedOn w:val="1"/>
    <w:next w:val="1"/>
    <w:link w:val="25"/>
    <w:semiHidden/>
    <w:unhideWhenUsed/>
    <w:qFormat/>
    <w:uiPriority w:val="9"/>
    <w:pPr>
      <w:keepNext/>
      <w:keepLines/>
      <w:spacing w:before="50" w:beforeLines="50" w:after="50" w:afterLines="50" w:line="240" w:lineRule="auto"/>
      <w:ind w:firstLine="0" w:firstLineChars="0"/>
      <w:jc w:val="left"/>
      <w:outlineLvl w:val="2"/>
    </w:pPr>
    <w:rPr>
      <w:rFonts w:eastAsia="黑体"/>
      <w:bCs/>
      <w:szCs w:val="32"/>
    </w:rPr>
  </w:style>
  <w:style w:type="paragraph" w:styleId="5">
    <w:name w:val="heading 4"/>
    <w:basedOn w:val="1"/>
    <w:next w:val="1"/>
    <w:link w:val="2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3"/>
    <w:semiHidden/>
    <w:unhideWhenUsed/>
    <w:qFormat/>
    <w:uiPriority w:val="9"/>
    <w:pPr>
      <w:keepNext/>
      <w:keepLines/>
      <w:spacing w:before="280" w:after="290" w:line="376" w:lineRule="auto"/>
      <w:outlineLvl w:val="4"/>
    </w:pPr>
    <w:rPr>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46"/>
    <w:semiHidden/>
    <w:unhideWhenUsed/>
    <w:qFormat/>
    <w:uiPriority w:val="99"/>
    <w:pPr>
      <w:spacing w:line="240" w:lineRule="auto"/>
    </w:pPr>
    <w:rPr>
      <w:sz w:val="18"/>
      <w:szCs w:val="18"/>
    </w:rPr>
  </w:style>
  <w:style w:type="paragraph" w:styleId="8">
    <w:name w:val="footer"/>
    <w:basedOn w:val="1"/>
    <w:link w:val="38"/>
    <w:unhideWhenUsed/>
    <w:qFormat/>
    <w:uiPriority w:val="0"/>
    <w:pPr>
      <w:tabs>
        <w:tab w:val="center" w:pos="4153"/>
        <w:tab w:val="right" w:pos="8306"/>
      </w:tabs>
      <w:snapToGrid w:val="0"/>
      <w:spacing w:line="240" w:lineRule="auto"/>
      <w:jc w:val="center"/>
    </w:pPr>
    <w:rPr>
      <w:sz w:val="21"/>
      <w:szCs w:val="18"/>
    </w:rPr>
  </w:style>
  <w:style w:type="paragraph" w:styleId="9">
    <w:name w:val="header"/>
    <w:basedOn w:val="1"/>
    <w:link w:val="37"/>
    <w:unhideWhenUsed/>
    <w:qFormat/>
    <w:uiPriority w:val="99"/>
    <w:pPr>
      <w:pBdr>
        <w:bottom w:val="single" w:color="auto" w:sz="6" w:space="1"/>
      </w:pBdr>
      <w:tabs>
        <w:tab w:val="center" w:pos="4153"/>
        <w:tab w:val="right" w:pos="8306"/>
      </w:tabs>
      <w:snapToGrid w:val="0"/>
      <w:spacing w:line="240" w:lineRule="auto"/>
      <w:jc w:val="center"/>
    </w:pPr>
    <w:rPr>
      <w:sz w:val="21"/>
      <w:szCs w:val="18"/>
    </w:rPr>
  </w:style>
  <w:style w:type="paragraph" w:styleId="10">
    <w:name w:val="Subtitle"/>
    <w:basedOn w:val="1"/>
    <w:next w:val="1"/>
    <w:link w:val="36"/>
    <w:qFormat/>
    <w:uiPriority w:val="11"/>
    <w:pPr>
      <w:spacing w:before="50" w:beforeLines="50" w:after="50" w:afterLines="50" w:line="240" w:lineRule="auto"/>
      <w:jc w:val="center"/>
      <w:outlineLvl w:val="1"/>
    </w:pPr>
    <w:rPr>
      <w:rFonts w:eastAsia="黑体" w:asciiTheme="minorHAnsi" w:hAnsiTheme="minorHAnsi"/>
      <w:bCs/>
      <w:kern w:val="28"/>
      <w:sz w:val="36"/>
      <w:szCs w:val="32"/>
    </w:rPr>
  </w:style>
  <w:style w:type="paragraph" w:styleId="11">
    <w:name w:val="Normal (Web)"/>
    <w:basedOn w:val="1"/>
    <w:qFormat/>
    <w:uiPriority w:val="0"/>
    <w:pPr>
      <w:spacing w:before="100" w:beforeAutospacing="1" w:after="100" w:afterAutospacing="1" w:line="240" w:lineRule="auto"/>
      <w:ind w:firstLine="0" w:firstLineChars="0"/>
      <w:jc w:val="left"/>
    </w:pPr>
    <w:rPr>
      <w:rFonts w:ascii="Calibri" w:hAnsi="Calibri" w:cs="Times New Roman"/>
      <w:kern w:val="0"/>
      <w:szCs w:val="24"/>
    </w:rPr>
  </w:style>
  <w:style w:type="paragraph" w:styleId="12">
    <w:name w:val="Title"/>
    <w:basedOn w:val="1"/>
    <w:next w:val="1"/>
    <w:link w:val="35"/>
    <w:qFormat/>
    <w:uiPriority w:val="10"/>
    <w:pPr>
      <w:spacing w:before="240" w:after="60"/>
      <w:jc w:val="center"/>
      <w:outlineLvl w:val="0"/>
    </w:pPr>
    <w:rPr>
      <w:rFonts w:eastAsia="黑体" w:asciiTheme="majorHAnsi" w:hAnsiTheme="majorHAnsi" w:cstheme="majorBidi"/>
      <w:bCs/>
      <w:sz w:val="44"/>
      <w:szCs w:val="32"/>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paragraph" w:customStyle="1" w:styleId="17">
    <w:name w:val="表格图片"/>
    <w:basedOn w:val="1"/>
    <w:next w:val="1"/>
    <w:link w:val="41"/>
    <w:qFormat/>
    <w:uiPriority w:val="0"/>
    <w:pPr>
      <w:ind w:firstLine="0" w:firstLineChars="0"/>
      <w:jc w:val="center"/>
    </w:pPr>
  </w:style>
  <w:style w:type="character" w:customStyle="1" w:styleId="18">
    <w:name w:val="标题 1 字符"/>
    <w:basedOn w:val="15"/>
    <w:link w:val="2"/>
    <w:qFormat/>
    <w:uiPriority w:val="9"/>
    <w:rPr>
      <w:rFonts w:ascii="Times New Roman" w:hAnsi="Times New Roman" w:eastAsia="黑体"/>
      <w:bCs/>
      <w:kern w:val="44"/>
      <w:sz w:val="30"/>
      <w:szCs w:val="44"/>
    </w:rPr>
  </w:style>
  <w:style w:type="paragraph" w:customStyle="1" w:styleId="19">
    <w:name w:val="样式1"/>
    <w:basedOn w:val="1"/>
    <w:qFormat/>
    <w:uiPriority w:val="0"/>
    <w:pPr>
      <w:ind w:left="420" w:leftChars="200" w:firstLine="420"/>
    </w:pPr>
  </w:style>
  <w:style w:type="character" w:customStyle="1" w:styleId="20">
    <w:name w:val="标题 2 字符"/>
    <w:basedOn w:val="15"/>
    <w:link w:val="3"/>
    <w:qFormat/>
    <w:uiPriority w:val="9"/>
    <w:rPr>
      <w:rFonts w:ascii="Times New Roman" w:hAnsi="Times New Roman" w:eastAsia="黑体" w:cstheme="majorBidi"/>
      <w:bCs/>
      <w:sz w:val="28"/>
      <w:szCs w:val="32"/>
    </w:rPr>
  </w:style>
  <w:style w:type="paragraph" w:customStyle="1" w:styleId="21">
    <w:name w:val="论文标题1"/>
    <w:basedOn w:val="2"/>
    <w:qFormat/>
    <w:uiPriority w:val="0"/>
    <w:pPr>
      <w:jc w:val="center"/>
    </w:pPr>
    <w:rPr>
      <w:b/>
      <w:sz w:val="36"/>
    </w:rPr>
  </w:style>
  <w:style w:type="paragraph" w:customStyle="1" w:styleId="22">
    <w:name w:val="论文标题2"/>
    <w:basedOn w:val="3"/>
    <w:qFormat/>
    <w:uiPriority w:val="0"/>
    <w:pPr>
      <w:jc w:val="center"/>
    </w:pPr>
    <w:rPr>
      <w:b/>
    </w:rPr>
  </w:style>
  <w:style w:type="paragraph" w:customStyle="1" w:styleId="23">
    <w:name w:val="2"/>
    <w:basedOn w:val="3"/>
    <w:qFormat/>
    <w:uiPriority w:val="0"/>
    <w:rPr>
      <w:b/>
      <w:sz w:val="36"/>
    </w:rPr>
  </w:style>
  <w:style w:type="paragraph" w:customStyle="1" w:styleId="24">
    <w:name w:val="3"/>
    <w:basedOn w:val="4"/>
    <w:qFormat/>
    <w:uiPriority w:val="0"/>
    <w:rPr>
      <w:b/>
    </w:rPr>
  </w:style>
  <w:style w:type="character" w:customStyle="1" w:styleId="25">
    <w:name w:val="标题 3 字符"/>
    <w:basedOn w:val="15"/>
    <w:link w:val="4"/>
    <w:semiHidden/>
    <w:qFormat/>
    <w:uiPriority w:val="9"/>
    <w:rPr>
      <w:rFonts w:ascii="Times New Roman" w:hAnsi="Times New Roman" w:eastAsia="黑体"/>
      <w:bCs/>
      <w:sz w:val="24"/>
      <w:szCs w:val="32"/>
    </w:rPr>
  </w:style>
  <w:style w:type="paragraph" w:customStyle="1" w:styleId="26">
    <w:name w:val="4"/>
    <w:basedOn w:val="5"/>
    <w:qFormat/>
    <w:uiPriority w:val="0"/>
    <w:pPr>
      <w:spacing w:before="50" w:beforeLines="50" w:after="50" w:afterLines="50" w:line="240" w:lineRule="auto"/>
      <w:jc w:val="left"/>
    </w:pPr>
    <w:rPr>
      <w:rFonts w:eastAsia="黑体"/>
      <w:b w:val="0"/>
      <w:sz w:val="30"/>
    </w:rPr>
  </w:style>
  <w:style w:type="character" w:customStyle="1" w:styleId="27">
    <w:name w:val="标题 4 字符"/>
    <w:basedOn w:val="15"/>
    <w:link w:val="5"/>
    <w:semiHidden/>
    <w:qFormat/>
    <w:uiPriority w:val="9"/>
    <w:rPr>
      <w:rFonts w:asciiTheme="majorHAnsi" w:hAnsiTheme="majorHAnsi" w:eastAsiaTheme="majorEastAsia" w:cstheme="majorBidi"/>
      <w:b/>
      <w:bCs/>
      <w:sz w:val="28"/>
      <w:szCs w:val="28"/>
    </w:rPr>
  </w:style>
  <w:style w:type="paragraph" w:customStyle="1" w:styleId="28">
    <w:name w:val="正文文"/>
    <w:basedOn w:val="1"/>
    <w:qFormat/>
    <w:uiPriority w:val="0"/>
    <w:pPr>
      <w:spacing w:before="100" w:beforeAutospacing="1" w:after="100" w:afterAutospacing="1"/>
      <w:jc w:val="left"/>
    </w:pPr>
  </w:style>
  <w:style w:type="paragraph" w:customStyle="1" w:styleId="29">
    <w:name w:val="1正文"/>
    <w:basedOn w:val="1"/>
    <w:qFormat/>
    <w:uiPriority w:val="0"/>
    <w:pPr>
      <w:ind w:left="200" w:leftChars="200"/>
      <w:jc w:val="left"/>
    </w:pPr>
  </w:style>
  <w:style w:type="paragraph" w:customStyle="1" w:styleId="30">
    <w:name w:val="5正文"/>
    <w:basedOn w:val="1"/>
    <w:qFormat/>
    <w:uiPriority w:val="0"/>
    <w:pPr>
      <w:jc w:val="left"/>
    </w:pPr>
    <w:rPr>
      <w:sz w:val="21"/>
    </w:rPr>
  </w:style>
  <w:style w:type="paragraph" w:customStyle="1" w:styleId="31">
    <w:name w:val="1"/>
    <w:basedOn w:val="2"/>
    <w:qFormat/>
    <w:uiPriority w:val="0"/>
    <w:pPr>
      <w:jc w:val="center"/>
    </w:pPr>
    <w:rPr>
      <w:b/>
    </w:rPr>
  </w:style>
  <w:style w:type="paragraph" w:customStyle="1" w:styleId="32">
    <w:name w:val="5"/>
    <w:basedOn w:val="6"/>
    <w:qFormat/>
    <w:uiPriority w:val="0"/>
    <w:pPr>
      <w:spacing w:before="50" w:beforeLines="50" w:after="50" w:afterLines="50" w:line="240" w:lineRule="auto"/>
      <w:jc w:val="left"/>
    </w:pPr>
    <w:rPr>
      <w:rFonts w:eastAsia="黑体" w:asciiTheme="minorHAnsi" w:hAnsiTheme="minorHAnsi"/>
      <w:b w:val="0"/>
      <w:sz w:val="24"/>
    </w:rPr>
  </w:style>
  <w:style w:type="character" w:customStyle="1" w:styleId="33">
    <w:name w:val="标题 5 字符"/>
    <w:basedOn w:val="15"/>
    <w:link w:val="6"/>
    <w:semiHidden/>
    <w:qFormat/>
    <w:uiPriority w:val="9"/>
    <w:rPr>
      <w:rFonts w:ascii="Times New Roman" w:hAnsi="Times New Roman" w:eastAsia="宋体"/>
      <w:b/>
      <w:bCs/>
      <w:sz w:val="28"/>
      <w:szCs w:val="28"/>
    </w:rPr>
  </w:style>
  <w:style w:type="character" w:customStyle="1" w:styleId="34">
    <w:name w:val="不明显强调1"/>
    <w:basedOn w:val="15"/>
    <w:qFormat/>
    <w:uiPriority w:val="19"/>
    <w:rPr>
      <w:i/>
      <w:iCs/>
      <w:color w:val="404040" w:themeColor="text1" w:themeTint="BF"/>
      <w14:textFill>
        <w14:solidFill>
          <w14:schemeClr w14:val="tx1">
            <w14:lumMod w14:val="75000"/>
            <w14:lumOff w14:val="25000"/>
          </w14:schemeClr>
        </w14:solidFill>
      </w14:textFill>
    </w:rPr>
  </w:style>
  <w:style w:type="character" w:customStyle="1" w:styleId="35">
    <w:name w:val="标题 字符"/>
    <w:basedOn w:val="15"/>
    <w:link w:val="12"/>
    <w:qFormat/>
    <w:uiPriority w:val="10"/>
    <w:rPr>
      <w:rFonts w:eastAsia="黑体" w:asciiTheme="majorHAnsi" w:hAnsiTheme="majorHAnsi" w:cstheme="majorBidi"/>
      <w:bCs/>
      <w:sz w:val="44"/>
      <w:szCs w:val="32"/>
    </w:rPr>
  </w:style>
  <w:style w:type="character" w:customStyle="1" w:styleId="36">
    <w:name w:val="副标题 字符"/>
    <w:basedOn w:val="15"/>
    <w:link w:val="10"/>
    <w:qFormat/>
    <w:uiPriority w:val="11"/>
    <w:rPr>
      <w:rFonts w:eastAsia="黑体"/>
      <w:bCs/>
      <w:kern w:val="28"/>
      <w:sz w:val="36"/>
      <w:szCs w:val="32"/>
    </w:rPr>
  </w:style>
  <w:style w:type="character" w:customStyle="1" w:styleId="37">
    <w:name w:val="页眉 字符"/>
    <w:basedOn w:val="15"/>
    <w:link w:val="9"/>
    <w:qFormat/>
    <w:uiPriority w:val="99"/>
    <w:rPr>
      <w:rFonts w:ascii="Times New Roman" w:hAnsi="Times New Roman" w:eastAsia="宋体"/>
      <w:szCs w:val="18"/>
    </w:rPr>
  </w:style>
  <w:style w:type="character" w:customStyle="1" w:styleId="38">
    <w:name w:val="页脚 字符"/>
    <w:basedOn w:val="15"/>
    <w:link w:val="8"/>
    <w:qFormat/>
    <w:uiPriority w:val="99"/>
    <w:rPr>
      <w:rFonts w:ascii="Times New Roman" w:hAnsi="Times New Roman" w:eastAsia="宋体"/>
      <w:szCs w:val="18"/>
    </w:rPr>
  </w:style>
  <w:style w:type="paragraph" w:styleId="39">
    <w:name w:val="Quote"/>
    <w:basedOn w:val="1"/>
    <w:next w:val="1"/>
    <w:link w:val="4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0">
    <w:name w:val="引用 字符"/>
    <w:basedOn w:val="15"/>
    <w:link w:val="39"/>
    <w:qFormat/>
    <w:uiPriority w:val="29"/>
    <w:rPr>
      <w:rFonts w:ascii="Times New Roman" w:hAnsi="Times New Roman" w:eastAsia="宋体"/>
      <w:i/>
      <w:iCs/>
      <w:color w:val="404040" w:themeColor="text1" w:themeTint="BF"/>
      <w:sz w:val="24"/>
      <w14:textFill>
        <w14:solidFill>
          <w14:schemeClr w14:val="tx1">
            <w14:lumMod w14:val="75000"/>
            <w14:lumOff w14:val="25000"/>
          </w14:schemeClr>
        </w14:solidFill>
      </w14:textFill>
    </w:rPr>
  </w:style>
  <w:style w:type="character" w:customStyle="1" w:styleId="41">
    <w:name w:val="表格图片 字符"/>
    <w:basedOn w:val="15"/>
    <w:link w:val="17"/>
    <w:qFormat/>
    <w:uiPriority w:val="0"/>
    <w:rPr>
      <w:rFonts w:ascii="Times New Roman" w:hAnsi="Times New Roman" w:eastAsia="宋体"/>
      <w:sz w:val="24"/>
    </w:rPr>
  </w:style>
  <w:style w:type="paragraph" w:customStyle="1" w:styleId="42">
    <w:name w:val="一级标题"/>
    <w:basedOn w:val="1"/>
    <w:next w:val="1"/>
    <w:qFormat/>
    <w:uiPriority w:val="0"/>
    <w:pPr>
      <w:spacing w:before="50" w:beforeLines="50" w:after="50" w:afterLines="50" w:line="240" w:lineRule="auto"/>
      <w:ind w:firstLine="0" w:firstLineChars="0"/>
      <w:jc w:val="left"/>
      <w:outlineLvl w:val="1"/>
    </w:pPr>
    <w:rPr>
      <w:rFonts w:eastAsia="黑体"/>
      <w:sz w:val="30"/>
    </w:rPr>
  </w:style>
  <w:style w:type="paragraph" w:customStyle="1" w:styleId="43">
    <w:name w:val="二级标题"/>
    <w:basedOn w:val="1"/>
    <w:next w:val="1"/>
    <w:qFormat/>
    <w:uiPriority w:val="0"/>
    <w:pPr>
      <w:spacing w:before="50" w:beforeLines="50" w:after="50" w:afterLines="50" w:line="240" w:lineRule="auto"/>
      <w:ind w:firstLine="0" w:firstLineChars="0"/>
      <w:jc w:val="left"/>
      <w:outlineLvl w:val="2"/>
    </w:pPr>
    <w:rPr>
      <w:rFonts w:eastAsia="黑体"/>
      <w:sz w:val="28"/>
    </w:rPr>
  </w:style>
  <w:style w:type="paragraph" w:customStyle="1" w:styleId="44">
    <w:name w:val="三级标题"/>
    <w:basedOn w:val="1"/>
    <w:next w:val="1"/>
    <w:link w:val="48"/>
    <w:qFormat/>
    <w:uiPriority w:val="0"/>
    <w:pPr>
      <w:spacing w:before="50" w:beforeLines="50" w:after="50" w:afterLines="50" w:line="240" w:lineRule="auto"/>
      <w:ind w:firstLine="0" w:firstLineChars="0"/>
      <w:jc w:val="left"/>
      <w:outlineLvl w:val="3"/>
    </w:pPr>
    <w:rPr>
      <w:rFonts w:eastAsia="黑体"/>
    </w:rPr>
  </w:style>
  <w:style w:type="paragraph" w:styleId="45">
    <w:name w:val="List Paragraph"/>
    <w:basedOn w:val="1"/>
    <w:qFormat/>
    <w:uiPriority w:val="34"/>
    <w:pPr>
      <w:ind w:firstLine="420"/>
    </w:pPr>
  </w:style>
  <w:style w:type="character" w:customStyle="1" w:styleId="46">
    <w:name w:val="批注框文本 字符"/>
    <w:basedOn w:val="15"/>
    <w:link w:val="7"/>
    <w:semiHidden/>
    <w:qFormat/>
    <w:uiPriority w:val="99"/>
    <w:rPr>
      <w:rFonts w:ascii="Times New Roman" w:hAnsi="Times New Roman" w:eastAsia="宋体"/>
      <w:sz w:val="18"/>
      <w:szCs w:val="18"/>
    </w:rPr>
  </w:style>
  <w:style w:type="table" w:customStyle="1" w:styleId="47">
    <w:name w:val="网格表 4 - 着色 11"/>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0" w:type="dxa"/>
        <w:bottom w:w="0" w:type="dxa"/>
        <w:right w:w="0"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l2br w:val="nil"/>
          <w:tr2bl w:val="nil"/>
        </w:tcBorders>
        <w:shd w:val="clear" w:color="auto" w:fill="5B9BD5"/>
      </w:tcPr>
    </w:tblStylePr>
    <w:tblStylePr w:type="lastRow">
      <w:rPr>
        <w:b/>
        <w:bCs/>
      </w:rPr>
      <w:tcPr>
        <w:tcBorders>
          <w:top w:val="double" w:color="5B9BD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character" w:customStyle="1" w:styleId="48">
    <w:name w:val="三级标题 Char"/>
    <w:link w:val="44"/>
    <w:qFormat/>
    <w:uiPriority w:val="0"/>
    <w:rPr>
      <w:rFonts w:eastAsia="黑体"/>
    </w:rPr>
  </w:style>
  <w:style w:type="table" w:customStyle="1" w:styleId="49">
    <w:name w:val="网格表 4 - 着色 12"/>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l2br w:val="nil"/>
          <w:tr2bl w:val="nil"/>
        </w:tcBorders>
        <w:shd w:val="clear" w:color="auto" w:fill="5B9BD5"/>
      </w:tcPr>
    </w:tblStylePr>
    <w:tblStylePr w:type="lastRow">
      <w:rPr>
        <w:b/>
        <w:bCs/>
      </w:rPr>
      <w:tcPr>
        <w:tcBorders>
          <w:top w:val="double" w:color="5B9BD5"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1243</Words>
  <Characters>7609</Characters>
  <Lines>68</Lines>
  <Paragraphs>19</Paragraphs>
  <TotalTime>69</TotalTime>
  <ScaleCrop>false</ScaleCrop>
  <LinksUpToDate>false</LinksUpToDate>
  <CharactersWithSpaces>8714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2022-02-08T09:37:00Z</dcterms:created>
  <dc:creator>617457638@qq.com</dc:creator>
  <cp:lastModifiedBy>-.-微微Sandy</cp:lastModifiedBy>
  <cp:lastPrinted>2021-09-27T08:46:00Z</cp:lastPrinted>
  <dcterms:modified xsi:type="dcterms:W3CDTF">2023-06-15T03:08:37Z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F699650804C34E69934194DD38B4B11B</vt:lpwstr>
  </property>
</Properties>
</file>